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84D2B" w14:textId="77777777" w:rsidR="002A7C74" w:rsidRDefault="002A7C74" w:rsidP="002A7C74">
      <w:pPr>
        <w:rPr>
          <w:rFonts w:cstheme="minorHAnsi"/>
          <w:sz w:val="24"/>
          <w:szCs w:val="24"/>
        </w:rPr>
      </w:pPr>
      <w:r w:rsidRPr="00DD7DC8">
        <w:rPr>
          <w:rFonts w:cstheme="minorHAnsi"/>
          <w:b/>
          <w:bCs/>
          <w:sz w:val="24"/>
          <w:szCs w:val="24"/>
        </w:rPr>
        <w:t>About EHS</w:t>
      </w:r>
      <w:r>
        <w:rPr>
          <w:rFonts w:cstheme="minorHAnsi"/>
          <w:b/>
          <w:bCs/>
          <w:sz w:val="24"/>
          <w:szCs w:val="24"/>
        </w:rPr>
        <w:br/>
      </w:r>
      <w:r w:rsidRPr="00044254">
        <w:rPr>
          <w:rFonts w:cstheme="minorHAnsi"/>
          <w:sz w:val="24"/>
          <w:szCs w:val="24"/>
        </w:rPr>
        <w:t xml:space="preserve">EHS can manifest as sensitivity to ELF-EMF (electric and magnetic fields, and ‘dirty electricity’, originating from the electricity grid and electrical equipment), to RF-EMF (radiation from all kinds of wireless technology), or to both. </w:t>
      </w:r>
    </w:p>
    <w:p w14:paraId="2C652C7C" w14:textId="77777777" w:rsidR="002A7C74" w:rsidRPr="0010159D" w:rsidRDefault="002A7C74" w:rsidP="002A7C74">
      <w:pPr>
        <w:rPr>
          <w:rFonts w:cstheme="minorHAnsi"/>
          <w:sz w:val="24"/>
          <w:szCs w:val="24"/>
        </w:rPr>
      </w:pPr>
      <w:r w:rsidRPr="0010159D">
        <w:rPr>
          <w:rFonts w:cstheme="minorHAnsi"/>
          <w:sz w:val="24"/>
          <w:szCs w:val="24"/>
        </w:rPr>
        <w:t>EHS symptoms: EMF can cause a whole range of symptoms, indicating that it affects multiple bod</w:t>
      </w:r>
      <w:r>
        <w:rPr>
          <w:rFonts w:cstheme="minorHAnsi"/>
          <w:sz w:val="24"/>
          <w:szCs w:val="24"/>
        </w:rPr>
        <w:t>il</w:t>
      </w:r>
      <w:r w:rsidRPr="0010159D">
        <w:rPr>
          <w:rFonts w:cstheme="minorHAnsi"/>
          <w:sz w:val="24"/>
          <w:szCs w:val="24"/>
        </w:rPr>
        <w:t xml:space="preserve">y systems. Short-term symptoms vary from headaches, dizziness, concentration and memory problems, to strong fatigue, sleep problems, skin rashes, tinnitus, heart palpitations, flu-like symptoms, digestive problems and more. These symptoms can be severe and debilitating. </w:t>
      </w:r>
      <w:r>
        <w:rPr>
          <w:rFonts w:cstheme="minorHAnsi"/>
          <w:sz w:val="24"/>
          <w:szCs w:val="24"/>
        </w:rPr>
        <w:t xml:space="preserve">Prolonged </w:t>
      </w:r>
      <w:r w:rsidRPr="0010159D">
        <w:rPr>
          <w:rFonts w:cstheme="minorHAnsi"/>
          <w:sz w:val="24"/>
          <w:szCs w:val="24"/>
        </w:rPr>
        <w:t>exposure can certainly lead to a deterioration in health.</w:t>
      </w:r>
    </w:p>
    <w:p w14:paraId="40686C4F" w14:textId="77777777" w:rsidR="002A7C74" w:rsidRDefault="002A7C74" w:rsidP="002A7C74">
      <w:pPr>
        <w:rPr>
          <w:rFonts w:cstheme="minorHAnsi"/>
          <w:sz w:val="24"/>
          <w:szCs w:val="24"/>
        </w:rPr>
      </w:pPr>
      <w:r w:rsidRPr="00D31BD1">
        <w:rPr>
          <w:rFonts w:cstheme="minorHAnsi"/>
          <w:sz w:val="24"/>
          <w:szCs w:val="24"/>
        </w:rPr>
        <w:t>Many people with EHS have self-diagnosed. Time and again, they find that avoiding and limiting exposure helps. The symptoms then disappear. But in this world, which is so digitally connected and full of electricity, it is difficult to lead a normal life.</w:t>
      </w:r>
      <w:r>
        <w:rPr>
          <w:rFonts w:cstheme="minorHAnsi"/>
          <w:sz w:val="24"/>
          <w:szCs w:val="24"/>
        </w:rPr>
        <w:t xml:space="preserve"> A lot can be done by keeping distance from sources, by shielding</w:t>
      </w:r>
      <w:r w:rsidRPr="00F74853">
        <w:rPr>
          <w:rFonts w:cstheme="minorHAnsi"/>
          <w:sz w:val="24"/>
          <w:szCs w:val="24"/>
        </w:rPr>
        <w:t xml:space="preserve"> against high-frequency interference, the electrical system </w:t>
      </w:r>
      <w:r>
        <w:rPr>
          <w:rFonts w:cstheme="minorHAnsi"/>
          <w:sz w:val="24"/>
          <w:szCs w:val="24"/>
        </w:rPr>
        <w:t xml:space="preserve">can be </w:t>
      </w:r>
      <w:r w:rsidRPr="00F74853">
        <w:rPr>
          <w:rFonts w:cstheme="minorHAnsi"/>
          <w:sz w:val="24"/>
          <w:szCs w:val="24"/>
        </w:rPr>
        <w:t>modified (shielded cables, mains-isolated switches, separation of ‘dirty’ and ‘clean’ circuits, installation of filters, use of direct current</w:t>
      </w:r>
      <w:r>
        <w:rPr>
          <w:rFonts w:cstheme="minorHAnsi"/>
          <w:sz w:val="24"/>
          <w:szCs w:val="24"/>
        </w:rPr>
        <w:t xml:space="preserve">) </w:t>
      </w:r>
      <w:r w:rsidRPr="00F74853">
        <w:rPr>
          <w:rFonts w:cstheme="minorHAnsi"/>
          <w:sz w:val="24"/>
          <w:szCs w:val="24"/>
        </w:rPr>
        <w:t xml:space="preserve">and </w:t>
      </w:r>
      <w:r>
        <w:rPr>
          <w:rFonts w:cstheme="minorHAnsi"/>
          <w:sz w:val="24"/>
          <w:szCs w:val="24"/>
        </w:rPr>
        <w:t>getting</w:t>
      </w:r>
      <w:r w:rsidRPr="00F74853">
        <w:rPr>
          <w:rFonts w:cstheme="minorHAnsi"/>
          <w:sz w:val="24"/>
          <w:szCs w:val="24"/>
        </w:rPr>
        <w:t xml:space="preserve"> rid of all harmful electrical appliances</w:t>
      </w:r>
      <w:r>
        <w:rPr>
          <w:rFonts w:cstheme="minorHAnsi"/>
          <w:sz w:val="24"/>
          <w:szCs w:val="24"/>
        </w:rPr>
        <w:t xml:space="preserve">. </w:t>
      </w:r>
      <w:r w:rsidRPr="00364E67">
        <w:rPr>
          <w:rFonts w:cstheme="minorHAnsi"/>
          <w:sz w:val="24"/>
          <w:szCs w:val="24"/>
        </w:rPr>
        <w:t>But those are just the technical adjustments – they’re costly</w:t>
      </w:r>
      <w:r>
        <w:rPr>
          <w:rFonts w:cstheme="minorHAnsi"/>
          <w:sz w:val="24"/>
          <w:szCs w:val="24"/>
        </w:rPr>
        <w:t xml:space="preserve">. </w:t>
      </w:r>
      <w:r w:rsidRPr="00153F33">
        <w:rPr>
          <w:rFonts w:cstheme="minorHAnsi"/>
          <w:sz w:val="24"/>
          <w:szCs w:val="24"/>
        </w:rPr>
        <w:t xml:space="preserve">It is </w:t>
      </w:r>
      <w:r>
        <w:rPr>
          <w:rFonts w:cstheme="minorHAnsi"/>
          <w:sz w:val="24"/>
          <w:szCs w:val="24"/>
        </w:rPr>
        <w:t xml:space="preserve">even </w:t>
      </w:r>
      <w:r w:rsidRPr="00153F33">
        <w:rPr>
          <w:rFonts w:cstheme="minorHAnsi"/>
          <w:sz w:val="24"/>
          <w:szCs w:val="24"/>
        </w:rPr>
        <w:t xml:space="preserve">more difficult to deal with the widespread scepticism, and often the lack of any form of support that would otherwise be customary. </w:t>
      </w:r>
      <w:r w:rsidRPr="00153F33">
        <w:rPr>
          <w:rFonts w:cstheme="minorHAnsi"/>
          <w:sz w:val="24"/>
          <w:szCs w:val="24"/>
          <w:lang w:val="da-DK"/>
        </w:rPr>
        <w:t xml:space="preserve">People are thus excluded and left to fend for themselves. </w:t>
      </w:r>
      <w:r w:rsidRPr="00153F33">
        <w:rPr>
          <w:rFonts w:cstheme="minorHAnsi"/>
          <w:sz w:val="24"/>
          <w:szCs w:val="24"/>
        </w:rPr>
        <w:t xml:space="preserve">The burden of </w:t>
      </w:r>
      <w:r>
        <w:rPr>
          <w:rFonts w:cstheme="minorHAnsi"/>
          <w:sz w:val="24"/>
          <w:szCs w:val="24"/>
        </w:rPr>
        <w:t xml:space="preserve">scientific </w:t>
      </w:r>
      <w:r w:rsidRPr="00153F33">
        <w:rPr>
          <w:rFonts w:cstheme="minorHAnsi"/>
          <w:sz w:val="24"/>
          <w:szCs w:val="24"/>
        </w:rPr>
        <w:t>proof regarding the existence of their condition is placed on the vulnerable individual.</w:t>
      </w:r>
      <w:r>
        <w:rPr>
          <w:rFonts w:cstheme="minorHAnsi"/>
          <w:sz w:val="24"/>
          <w:szCs w:val="24"/>
        </w:rPr>
        <w:t xml:space="preserve"> </w:t>
      </w:r>
    </w:p>
    <w:p w14:paraId="010FF5AF" w14:textId="77777777" w:rsidR="002A7C74" w:rsidRDefault="002A7C74" w:rsidP="002A7C74">
      <w:pPr>
        <w:rPr>
          <w:rFonts w:cstheme="minorHAnsi"/>
          <w:sz w:val="24"/>
          <w:szCs w:val="24"/>
        </w:rPr>
      </w:pPr>
      <w:r w:rsidRPr="0010159D">
        <w:rPr>
          <w:rFonts w:cstheme="minorHAnsi"/>
          <w:sz w:val="24"/>
          <w:szCs w:val="24"/>
        </w:rPr>
        <w:t xml:space="preserve">Estimates of how many people are affected can be found in </w:t>
      </w:r>
      <w:r w:rsidRPr="0010159D">
        <w:rPr>
          <w:rFonts w:cstheme="minorHAnsi"/>
          <w:b/>
          <w:bCs/>
          <w:sz w:val="24"/>
          <w:szCs w:val="24"/>
        </w:rPr>
        <w:t xml:space="preserve">The Prevalence of People With Restricted Access to Work in Man-Made Electromagnetic Environments </w:t>
      </w:r>
      <w:r w:rsidRPr="0010159D">
        <w:rPr>
          <w:rFonts w:cstheme="minorHAnsi"/>
          <w:sz w:val="24"/>
          <w:szCs w:val="24"/>
        </w:rPr>
        <w:t>by</w:t>
      </w:r>
      <w:r w:rsidRPr="0010159D">
        <w:rPr>
          <w:rFonts w:cstheme="minorHAnsi"/>
          <w:b/>
          <w:bCs/>
          <w:sz w:val="24"/>
          <w:szCs w:val="24"/>
        </w:rPr>
        <w:t xml:space="preserve"> </w:t>
      </w:r>
      <w:r w:rsidRPr="00024968">
        <w:rPr>
          <w:rFonts w:cstheme="minorHAnsi"/>
          <w:sz w:val="24"/>
          <w:szCs w:val="24"/>
        </w:rPr>
        <w:t>Michael Bevington</w:t>
      </w:r>
      <w:r w:rsidRPr="0010159D">
        <w:rPr>
          <w:rFonts w:cstheme="minorHAnsi"/>
          <w:sz w:val="24"/>
          <w:szCs w:val="24"/>
        </w:rPr>
        <w:t xml:space="preserve"> </w:t>
      </w:r>
      <w:r w:rsidRPr="00024968">
        <w:rPr>
          <w:rFonts w:cstheme="minorHAnsi"/>
          <w:sz w:val="24"/>
          <w:szCs w:val="24"/>
        </w:rPr>
        <w:t>DOI:</w:t>
      </w:r>
      <w:hyperlink r:id="rId5" w:tgtFrame="_blank" w:history="1">
        <w:r w:rsidRPr="00024968">
          <w:rPr>
            <w:rStyle w:val="Hyperlink"/>
            <w:rFonts w:cstheme="minorHAnsi"/>
            <w:sz w:val="24"/>
            <w:szCs w:val="24"/>
          </w:rPr>
          <w:t>10.15436/2378-6841.19.2402</w:t>
        </w:r>
      </w:hyperlink>
      <w:r w:rsidRPr="0010159D">
        <w:rPr>
          <w:rFonts w:cstheme="minorHAnsi"/>
          <w:sz w:val="24"/>
          <w:szCs w:val="24"/>
        </w:rPr>
        <w:t xml:space="preserve">:  </w:t>
      </w:r>
      <w:r w:rsidRPr="0010159D">
        <w:rPr>
          <w:rFonts w:cstheme="minorHAnsi"/>
          <w:sz w:val="24"/>
          <w:szCs w:val="24"/>
        </w:rPr>
        <w:br/>
        <w:t>“</w:t>
      </w:r>
      <w:r w:rsidRPr="00044254">
        <w:rPr>
          <w:rFonts w:cstheme="minorHAnsi"/>
          <w:i/>
          <w:iCs/>
          <w:sz w:val="24"/>
          <w:szCs w:val="24"/>
        </w:rPr>
        <w:t xml:space="preserve">in addition to subconscious sensitivity, the prevalence of IEI-EMF/EHS </w:t>
      </w:r>
      <w:r w:rsidRPr="00024968">
        <w:rPr>
          <w:rFonts w:cstheme="minorHAnsi"/>
          <w:i/>
          <w:iCs/>
          <w:sz w:val="24"/>
          <w:szCs w:val="24"/>
        </w:rPr>
        <w:t>is between about 5.0 and 30 per cent of the general population for mild cases, 1.5 and 5.0 per cent for moderate cases and &lt; 1.5 per cent for severe cases.</w:t>
      </w:r>
      <w:r w:rsidRPr="00044254">
        <w:rPr>
          <w:rFonts w:cstheme="minorHAnsi"/>
          <w:i/>
          <w:iCs/>
          <w:sz w:val="24"/>
          <w:szCs w:val="24"/>
        </w:rPr>
        <w:t xml:space="preserve"> </w:t>
      </w:r>
      <w:bookmarkStart w:id="0" w:name="_Hlk242994621"/>
      <w:r w:rsidRPr="00044254">
        <w:rPr>
          <w:rFonts w:cstheme="minorHAnsi"/>
          <w:i/>
          <w:iCs/>
          <w:sz w:val="24"/>
          <w:szCs w:val="24"/>
        </w:rPr>
        <w:t>The prevalence of people restricted in their access to work in a man-made electromagnetic environment is estimated at 0.65 per cent of the general population</w:t>
      </w:r>
      <w:bookmarkEnd w:id="0"/>
      <w:r w:rsidRPr="00044254">
        <w:rPr>
          <w:rFonts w:cstheme="minorHAnsi"/>
          <w:i/>
          <w:iCs/>
          <w:sz w:val="24"/>
          <w:szCs w:val="24"/>
        </w:rPr>
        <w:t>, at about 18% of the general population with moderate IEI-EMF/EHS</w:t>
      </w:r>
      <w:r w:rsidRPr="0010159D">
        <w:rPr>
          <w:rFonts w:cstheme="minorHAnsi"/>
          <w:sz w:val="24"/>
          <w:szCs w:val="24"/>
        </w:rPr>
        <w:t>.”</w:t>
      </w:r>
    </w:p>
    <w:p w14:paraId="5C50EC07" w14:textId="77777777" w:rsidR="002A7C74" w:rsidRPr="00024968" w:rsidRDefault="002A7C74" w:rsidP="002A7C74">
      <w:pPr>
        <w:rPr>
          <w:rFonts w:cstheme="minorHAnsi"/>
          <w:sz w:val="24"/>
          <w:szCs w:val="24"/>
        </w:rPr>
      </w:pPr>
    </w:p>
    <w:p w14:paraId="277B9DE4" w14:textId="77777777" w:rsidR="002A7C74" w:rsidRPr="00891305" w:rsidRDefault="002A7C74" w:rsidP="002A7C74">
      <w:pPr>
        <w:rPr>
          <w:rFonts w:cstheme="minorHAnsi"/>
          <w:sz w:val="24"/>
          <w:szCs w:val="24"/>
        </w:rPr>
      </w:pPr>
      <w:r w:rsidRPr="00D31BD1">
        <w:rPr>
          <w:rFonts w:cstheme="minorHAnsi"/>
          <w:b/>
          <w:bCs/>
          <w:sz w:val="24"/>
          <w:szCs w:val="24"/>
        </w:rPr>
        <w:t xml:space="preserve">What </w:t>
      </w:r>
      <w:r>
        <w:rPr>
          <w:rFonts w:cstheme="minorHAnsi"/>
          <w:b/>
          <w:bCs/>
          <w:sz w:val="24"/>
          <w:szCs w:val="24"/>
        </w:rPr>
        <w:t xml:space="preserve">do we know about </w:t>
      </w:r>
      <w:r w:rsidRPr="00D31BD1">
        <w:rPr>
          <w:rFonts w:cstheme="minorHAnsi"/>
          <w:b/>
          <w:bCs/>
          <w:sz w:val="24"/>
          <w:szCs w:val="24"/>
        </w:rPr>
        <w:t xml:space="preserve"> the physical mechanisms underlying EHS? </w:t>
      </w:r>
      <w:r>
        <w:rPr>
          <w:rFonts w:cstheme="minorHAnsi"/>
          <w:b/>
          <w:bCs/>
          <w:sz w:val="24"/>
          <w:szCs w:val="24"/>
        </w:rPr>
        <w:br/>
      </w:r>
      <w:r w:rsidRPr="00D31BD1">
        <w:rPr>
          <w:rFonts w:cstheme="minorHAnsi"/>
          <w:sz w:val="24"/>
          <w:szCs w:val="24"/>
        </w:rPr>
        <w:t xml:space="preserve">The World Health Organisation recognises EHS as a self-reported condition, but emphasises that there is insufficient scientific evidence to classify it as an official medical diagnosis. </w:t>
      </w:r>
      <w:r w:rsidRPr="00891305">
        <w:rPr>
          <w:rFonts w:cstheme="minorHAnsi"/>
          <w:sz w:val="24"/>
          <w:szCs w:val="24"/>
        </w:rPr>
        <w:t xml:space="preserve">Most </w:t>
      </w:r>
      <w:r>
        <w:rPr>
          <w:rFonts w:cstheme="minorHAnsi"/>
          <w:sz w:val="24"/>
          <w:szCs w:val="24"/>
        </w:rPr>
        <w:t xml:space="preserve">studies done focus on the EHS individual nd their behaviour. </w:t>
      </w:r>
      <w:r w:rsidRPr="00891305">
        <w:rPr>
          <w:rFonts w:cstheme="minorHAnsi"/>
          <w:sz w:val="24"/>
          <w:szCs w:val="24"/>
        </w:rPr>
        <w:t>Nevertheless, an increasing number of studies carried out over the past decade point to a physical basis for EHS.</w:t>
      </w:r>
    </w:p>
    <w:p w14:paraId="4C64EE7F" w14:textId="77777777" w:rsidR="002A7C74" w:rsidRPr="0010159D" w:rsidRDefault="002A7C74" w:rsidP="002A7C74">
      <w:pPr>
        <w:rPr>
          <w:rFonts w:cstheme="minorHAnsi"/>
          <w:sz w:val="24"/>
          <w:szCs w:val="24"/>
        </w:rPr>
      </w:pPr>
      <w:r w:rsidRPr="0010159D">
        <w:rPr>
          <w:rFonts w:cstheme="minorHAnsi"/>
          <w:sz w:val="24"/>
          <w:szCs w:val="24"/>
        </w:rPr>
        <w:t>See</w:t>
      </w:r>
      <w:r w:rsidRPr="0010159D">
        <w:rPr>
          <w:rFonts w:cstheme="minorHAnsi"/>
          <w:b/>
          <w:bCs/>
          <w:sz w:val="24"/>
          <w:szCs w:val="24"/>
        </w:rPr>
        <w:t xml:space="preserve"> Reliable disease biomarkers characterizing and identifying electrohypersensitivity and multiple chemical sensitivity as two etiopathogenic aspects of a unique pathological disorder  </w:t>
      </w:r>
      <w:r w:rsidRPr="0010159D">
        <w:rPr>
          <w:rFonts w:cstheme="minorHAnsi"/>
          <w:sz w:val="24"/>
          <w:szCs w:val="24"/>
        </w:rPr>
        <w:t>by</w:t>
      </w:r>
      <w:r w:rsidRPr="0010159D">
        <w:rPr>
          <w:rFonts w:cstheme="minorHAnsi"/>
          <w:b/>
          <w:bCs/>
          <w:sz w:val="24"/>
          <w:szCs w:val="24"/>
        </w:rPr>
        <w:t xml:space="preserve"> </w:t>
      </w:r>
      <w:r w:rsidRPr="0010159D">
        <w:rPr>
          <w:rFonts w:cstheme="minorHAnsi"/>
          <w:sz w:val="24"/>
          <w:szCs w:val="24"/>
        </w:rPr>
        <w:t>Dominique Belpomme, Christine Campagnac and Philipe Irigaray DOI:</w:t>
      </w:r>
      <w:hyperlink r:id="rId6" w:tgtFrame="_blank" w:history="1">
        <w:r w:rsidRPr="0010159D">
          <w:rPr>
            <w:rStyle w:val="Hyperlink"/>
            <w:rFonts w:cstheme="minorHAnsi"/>
            <w:sz w:val="24"/>
            <w:szCs w:val="24"/>
          </w:rPr>
          <w:t>10.1515/reveh-2015-0027</w:t>
        </w:r>
      </w:hyperlink>
    </w:p>
    <w:p w14:paraId="571E6097" w14:textId="77777777" w:rsidR="002A7C74" w:rsidRDefault="002A7C74" w:rsidP="002A7C74">
      <w:pPr>
        <w:rPr>
          <w:rFonts w:cstheme="minorHAnsi"/>
          <w:sz w:val="24"/>
          <w:szCs w:val="24"/>
        </w:rPr>
      </w:pPr>
      <w:r w:rsidRPr="0010159D">
        <w:rPr>
          <w:rFonts w:cstheme="minorHAnsi"/>
          <w:sz w:val="24"/>
          <w:szCs w:val="24"/>
        </w:rPr>
        <w:t xml:space="preserve">Irigaray and Belpomme also found a  high percentage (~80%) of EHS self-reporting patients with increased OS in their peripheral blood </w:t>
      </w:r>
      <w:r>
        <w:rPr>
          <w:rFonts w:cstheme="minorHAnsi"/>
          <w:sz w:val="24"/>
          <w:szCs w:val="24"/>
        </w:rPr>
        <w:t>in</w:t>
      </w:r>
      <w:r w:rsidRPr="0010159D">
        <w:rPr>
          <w:rFonts w:cstheme="minorHAnsi"/>
          <w:sz w:val="24"/>
          <w:szCs w:val="24"/>
        </w:rPr>
        <w:t xml:space="preserve">: </w:t>
      </w:r>
      <w:r w:rsidRPr="0010159D">
        <w:rPr>
          <w:rFonts w:cstheme="minorHAnsi"/>
          <w:b/>
          <w:bCs/>
          <w:sz w:val="24"/>
          <w:szCs w:val="24"/>
        </w:rPr>
        <w:t xml:space="preserve">Oxidative stress in electrohypersensitivity </w:t>
      </w:r>
      <w:r w:rsidRPr="0010159D">
        <w:rPr>
          <w:rFonts w:cstheme="minorHAnsi"/>
          <w:b/>
          <w:bCs/>
          <w:sz w:val="24"/>
          <w:szCs w:val="24"/>
        </w:rPr>
        <w:lastRenderedPageBreak/>
        <w:t>self-reporting patients: results of a prospective in vivo investigation with comprehensive molecular analysis.</w:t>
      </w:r>
      <w:r w:rsidRPr="0010159D">
        <w:rPr>
          <w:rFonts w:cstheme="minorHAnsi"/>
          <w:sz w:val="24"/>
          <w:szCs w:val="24"/>
        </w:rPr>
        <w:t xml:space="preserve"> </w:t>
      </w:r>
      <w:r w:rsidRPr="0010159D">
        <w:rPr>
          <w:rFonts w:cstheme="minorHAnsi"/>
          <w:i/>
          <w:iCs/>
          <w:sz w:val="24"/>
          <w:szCs w:val="24"/>
        </w:rPr>
        <w:t>Int J Mol Med</w:t>
      </w:r>
      <w:r w:rsidRPr="0010159D">
        <w:rPr>
          <w:rFonts w:cstheme="minorHAnsi"/>
          <w:sz w:val="24"/>
          <w:szCs w:val="24"/>
        </w:rPr>
        <w:t>. (2018) 42:1885–98. doi: 10.3892/ijmm.2018.3774</w:t>
      </w:r>
    </w:p>
    <w:p w14:paraId="436C749F" w14:textId="77777777" w:rsidR="002A7C74" w:rsidRPr="0010159D" w:rsidRDefault="002A7C74" w:rsidP="002A7C74">
      <w:pPr>
        <w:rPr>
          <w:rFonts w:cstheme="minorHAnsi"/>
          <w:sz w:val="24"/>
          <w:szCs w:val="24"/>
        </w:rPr>
      </w:pPr>
      <w:r>
        <w:rPr>
          <w:rFonts w:cstheme="minorHAnsi"/>
          <w:sz w:val="24"/>
          <w:szCs w:val="24"/>
          <w:lang w:val="en-GB"/>
        </w:rPr>
        <w:t xml:space="preserve">See also </w:t>
      </w:r>
      <w:r w:rsidRPr="002F019F">
        <w:rPr>
          <w:rFonts w:cstheme="minorHAnsi"/>
          <w:sz w:val="24"/>
          <w:szCs w:val="24"/>
          <w:lang w:val="en-GB"/>
        </w:rPr>
        <w:t xml:space="preserve">Yael Stein MD, Iris G. Udasin MD - </w:t>
      </w:r>
      <w:r w:rsidRPr="00D80561">
        <w:rPr>
          <w:rFonts w:cstheme="minorHAnsi"/>
          <w:b/>
          <w:bCs/>
          <w:sz w:val="24"/>
          <w:szCs w:val="24"/>
          <w:lang w:val="en-US"/>
        </w:rPr>
        <w:t>Electromagnetic hypersensitivity (EHS, microwave syndrome) – Review of mechanisms</w:t>
      </w:r>
      <w:r w:rsidRPr="002F019F">
        <w:rPr>
          <w:rFonts w:cstheme="minorHAnsi"/>
          <w:sz w:val="24"/>
          <w:szCs w:val="24"/>
          <w:lang w:val="en-US"/>
        </w:rPr>
        <w:t xml:space="preserve"> – 2020 -</w:t>
      </w:r>
      <w:r w:rsidRPr="002F019F">
        <w:rPr>
          <w:rFonts w:cstheme="minorHAnsi"/>
          <w:b/>
          <w:bCs/>
          <w:sz w:val="24"/>
          <w:szCs w:val="24"/>
          <w:lang w:val="en-US"/>
        </w:rPr>
        <w:t xml:space="preserve"> </w:t>
      </w:r>
      <w:r w:rsidRPr="002F019F">
        <w:rPr>
          <w:rFonts w:cstheme="minorHAnsi"/>
          <w:sz w:val="24"/>
          <w:szCs w:val="24"/>
          <w:lang w:val="en-GB"/>
        </w:rPr>
        <w:t xml:space="preserve">doi </w:t>
      </w:r>
      <w:hyperlink r:id="rId7" w:history="1">
        <w:r w:rsidRPr="002F019F">
          <w:rPr>
            <w:rStyle w:val="Hyperlink"/>
            <w:rFonts w:cstheme="minorHAnsi"/>
            <w:sz w:val="24"/>
            <w:szCs w:val="24"/>
            <w:lang w:val="en-US"/>
          </w:rPr>
          <w:t>https://doi.org/10.1016/j.envres.2020.109445</w:t>
        </w:r>
      </w:hyperlink>
    </w:p>
    <w:p w14:paraId="32C2C397" w14:textId="77777777" w:rsidR="002A7C74" w:rsidRPr="0010159D" w:rsidRDefault="002A7C74" w:rsidP="002A7C74">
      <w:pPr>
        <w:rPr>
          <w:rFonts w:cstheme="minorHAnsi"/>
          <w:sz w:val="24"/>
          <w:szCs w:val="24"/>
        </w:rPr>
      </w:pPr>
      <w:r w:rsidRPr="0010159D">
        <w:rPr>
          <w:rFonts w:cstheme="minorHAnsi"/>
          <w:sz w:val="24"/>
          <w:szCs w:val="24"/>
        </w:rPr>
        <w:t>This international consensus report pleads for the acknowledgement of EHS as a distinct neuropathological disorder and for its inclusion in the WHO International Classification of Disease</w:t>
      </w:r>
      <w:r>
        <w:rPr>
          <w:rFonts w:cstheme="minorHAnsi"/>
          <w:sz w:val="24"/>
          <w:szCs w:val="24"/>
        </w:rPr>
        <w:t xml:space="preserve">: </w:t>
      </w:r>
      <w:r w:rsidRPr="0010159D">
        <w:rPr>
          <w:rFonts w:cstheme="minorHAnsi"/>
          <w:sz w:val="24"/>
          <w:szCs w:val="24"/>
        </w:rPr>
        <w:t>.</w:t>
      </w:r>
      <w:r w:rsidRPr="0010159D">
        <w:rPr>
          <w:rFonts w:cstheme="minorHAnsi"/>
          <w:b/>
          <w:bCs/>
          <w:sz w:val="24"/>
          <w:szCs w:val="24"/>
        </w:rPr>
        <w:t>The Critical Importance of Molecular Biomarkers and Imaging in the Study of Electrohypersensitivity. A Scientific Consensus International Report.</w:t>
      </w:r>
      <w:r w:rsidRPr="0010159D">
        <w:rPr>
          <w:rFonts w:cstheme="minorHAnsi"/>
          <w:sz w:val="24"/>
          <w:szCs w:val="24"/>
        </w:rPr>
        <w:t xml:space="preserve"> Int. J. Mol. Sci. 22, 7321. by Belpomme, D., Carlo, G.L., Irigaray, P., Carpenter, D.O., Hardell, L., Kundi, M., Belyaev, I., and many others, 2021. </w:t>
      </w:r>
      <w:hyperlink r:id="rId8" w:tgtFrame="_blank" w:history="1">
        <w:r w:rsidRPr="0010159D">
          <w:rPr>
            <w:rStyle w:val="Hyperlink"/>
            <w:rFonts w:cstheme="minorHAnsi"/>
            <w:sz w:val="24"/>
            <w:szCs w:val="24"/>
          </w:rPr>
          <w:t>https://doi.org/10.3390/ijms22147321</w:t>
        </w:r>
      </w:hyperlink>
      <w:r w:rsidRPr="0010159D">
        <w:rPr>
          <w:rFonts w:cstheme="minorHAnsi"/>
          <w:sz w:val="24"/>
          <w:szCs w:val="24"/>
        </w:rPr>
        <w:t xml:space="preserve">. </w:t>
      </w:r>
    </w:p>
    <w:p w14:paraId="74D64ACC" w14:textId="77777777" w:rsidR="002A7C74" w:rsidRPr="0010159D" w:rsidRDefault="002A7C74" w:rsidP="002A7C74">
      <w:pPr>
        <w:rPr>
          <w:rFonts w:cstheme="minorHAnsi"/>
          <w:sz w:val="24"/>
          <w:szCs w:val="24"/>
        </w:rPr>
      </w:pPr>
      <w:r w:rsidRPr="0010159D">
        <w:rPr>
          <w:rFonts w:cstheme="minorHAnsi"/>
          <w:sz w:val="24"/>
          <w:szCs w:val="24"/>
        </w:rPr>
        <w:t xml:space="preserve">See also </w:t>
      </w:r>
      <w:r w:rsidRPr="0010159D">
        <w:rPr>
          <w:rFonts w:cstheme="minorHAnsi"/>
          <w:b/>
          <w:bCs/>
          <w:sz w:val="24"/>
          <w:szCs w:val="24"/>
        </w:rPr>
        <w:t>Electro-hypersensitivity as a Worldwide, Man-made Electromagnetic Pathology</w:t>
      </w:r>
      <w:r w:rsidRPr="0010159D">
        <w:rPr>
          <w:rFonts w:cstheme="minorHAnsi"/>
          <w:sz w:val="24"/>
          <w:szCs w:val="24"/>
        </w:rPr>
        <w:t xml:space="preserve">, by Belpomme, Dominique &amp; Irigaray, Philippe. (2022). </w:t>
      </w:r>
      <w:hyperlink r:id="rId9" w:tgtFrame="_blank" w:history="1">
        <w:r w:rsidRPr="0010159D">
          <w:rPr>
            <w:rStyle w:val="Hyperlink"/>
            <w:rFonts w:cstheme="minorHAnsi"/>
            <w:sz w:val="24"/>
            <w:szCs w:val="24"/>
          </w:rPr>
          <w:t>10.1201/9781003201052-11</w:t>
        </w:r>
      </w:hyperlink>
      <w:r w:rsidRPr="0010159D">
        <w:rPr>
          <w:rFonts w:cstheme="minorHAnsi"/>
          <w:sz w:val="24"/>
          <w:szCs w:val="24"/>
        </w:rPr>
        <w:t>.</w:t>
      </w:r>
    </w:p>
    <w:p w14:paraId="5C00773C" w14:textId="77777777" w:rsidR="002A7C74" w:rsidRPr="0010159D" w:rsidRDefault="002A7C74" w:rsidP="002A7C74">
      <w:pPr>
        <w:rPr>
          <w:rFonts w:cstheme="minorHAnsi"/>
          <w:sz w:val="24"/>
          <w:szCs w:val="24"/>
        </w:rPr>
      </w:pPr>
      <w:r w:rsidRPr="00DD7DC8">
        <w:rPr>
          <w:rFonts w:cstheme="minorHAnsi"/>
          <w:sz w:val="24"/>
          <w:szCs w:val="24"/>
        </w:rPr>
        <w:t>It is also thought that EHS may have a genetic cause, as the detoxification process is disrupted in many people with EHS.</w:t>
      </w:r>
      <w:r>
        <w:rPr>
          <w:rFonts w:cstheme="minorHAnsi"/>
          <w:sz w:val="24"/>
          <w:szCs w:val="24"/>
        </w:rPr>
        <w:t xml:space="preserve"> </w:t>
      </w:r>
      <w:r w:rsidRPr="0010159D">
        <w:rPr>
          <w:rFonts w:cstheme="minorHAnsi"/>
          <w:sz w:val="24"/>
          <w:szCs w:val="24"/>
        </w:rPr>
        <w:t>See</w:t>
      </w:r>
      <w:r w:rsidRPr="0010159D">
        <w:rPr>
          <w:rFonts w:cstheme="minorHAnsi"/>
          <w:b/>
          <w:bCs/>
          <w:sz w:val="24"/>
          <w:szCs w:val="24"/>
        </w:rPr>
        <w:t xml:space="preserve"> Metabolic and Genetic Screening of Electromagnetic Hypersensitive Subjects as a Feasible Tool for Diagnostics and Intervention  </w:t>
      </w:r>
      <w:r w:rsidRPr="0010159D">
        <w:rPr>
          <w:rFonts w:cstheme="minorHAnsi"/>
          <w:sz w:val="24"/>
          <w:szCs w:val="24"/>
        </w:rPr>
        <w:t>by Chiara De Luca</w:t>
      </w:r>
      <w:r w:rsidRPr="0010159D">
        <w:rPr>
          <w:rFonts w:cstheme="minorHAnsi"/>
          <w:b/>
          <w:bCs/>
          <w:sz w:val="24"/>
          <w:szCs w:val="24"/>
        </w:rPr>
        <w:t xml:space="preserve"> </w:t>
      </w:r>
      <w:r w:rsidRPr="0010159D">
        <w:rPr>
          <w:rFonts w:cstheme="minorHAnsi"/>
          <w:sz w:val="24"/>
          <w:szCs w:val="24"/>
        </w:rPr>
        <w:t>and others</w:t>
      </w:r>
      <w:r w:rsidRPr="0010159D">
        <w:rPr>
          <w:rFonts w:cstheme="minorHAnsi"/>
          <w:b/>
          <w:bCs/>
          <w:sz w:val="24"/>
          <w:szCs w:val="24"/>
        </w:rPr>
        <w:t xml:space="preserve"> </w:t>
      </w:r>
      <w:hyperlink r:id="rId10" w:history="1">
        <w:r w:rsidRPr="0010159D">
          <w:rPr>
            <w:rStyle w:val="Hyperlink"/>
            <w:rFonts w:cstheme="minorHAnsi"/>
            <w:sz w:val="24"/>
            <w:szCs w:val="24"/>
          </w:rPr>
          <w:t>https://doi.org/10.1155/2014/924184</w:t>
        </w:r>
      </w:hyperlink>
    </w:p>
    <w:p w14:paraId="18EB0DD8" w14:textId="77777777" w:rsidR="002A7C74" w:rsidRPr="0010159D" w:rsidRDefault="002A7C74" w:rsidP="002A7C74">
      <w:pPr>
        <w:rPr>
          <w:rFonts w:cstheme="minorHAnsi"/>
          <w:sz w:val="24"/>
          <w:szCs w:val="24"/>
        </w:rPr>
      </w:pPr>
      <w:r w:rsidRPr="0010159D">
        <w:rPr>
          <w:rStyle w:val="inline"/>
          <w:rFonts w:cstheme="minorHAnsi"/>
          <w:sz w:val="24"/>
          <w:szCs w:val="24"/>
        </w:rPr>
        <w:t xml:space="preserve">And see  the pilot study </w:t>
      </w:r>
      <w:r w:rsidRPr="0010159D">
        <w:rPr>
          <w:rStyle w:val="inline"/>
          <w:rFonts w:cstheme="minorHAnsi"/>
          <w:b/>
          <w:bCs/>
          <w:sz w:val="24"/>
          <w:szCs w:val="24"/>
        </w:rPr>
        <w:t>Skin Fibroblasts from Individuals Self-Diagnosed as Electrosensitive Reveal Two Distinct Subsets with Delayed Nucleoshuttling of the ATM Protein in Common</w:t>
      </w:r>
      <w:r w:rsidRPr="0010159D">
        <w:rPr>
          <w:rStyle w:val="inline"/>
          <w:rFonts w:cstheme="minorHAnsi"/>
          <w:sz w:val="24"/>
          <w:szCs w:val="24"/>
          <w:u w:val="single"/>
        </w:rPr>
        <w:t xml:space="preserve"> </w:t>
      </w:r>
      <w:r w:rsidRPr="0010159D">
        <w:rPr>
          <w:rStyle w:val="inline"/>
          <w:rFonts w:cstheme="minorHAnsi"/>
          <w:sz w:val="24"/>
          <w:szCs w:val="24"/>
        </w:rPr>
        <w:t>by Laurene</w:t>
      </w:r>
      <w:r w:rsidRPr="0010159D">
        <w:rPr>
          <w:rStyle w:val="inline"/>
          <w:rFonts w:cstheme="minorHAnsi"/>
          <w:sz w:val="24"/>
          <w:szCs w:val="24"/>
          <w:u w:val="single"/>
        </w:rPr>
        <w:t xml:space="preserve"> </w:t>
      </w:r>
      <w:r w:rsidRPr="0010159D">
        <w:rPr>
          <w:rStyle w:val="inline"/>
          <w:rFonts w:cstheme="minorHAnsi"/>
          <w:sz w:val="24"/>
          <w:szCs w:val="24"/>
        </w:rPr>
        <w:t xml:space="preserve">Sonzogni and others </w:t>
      </w:r>
      <w:hyperlink r:id="rId11" w:history="1">
        <w:r w:rsidRPr="0010159D">
          <w:rPr>
            <w:rStyle w:val="Hyperlink"/>
            <w:rFonts w:cstheme="minorHAnsi"/>
            <w:sz w:val="24"/>
            <w:szCs w:val="24"/>
          </w:rPr>
          <w:t>https://doi.org/10.3390/ijms26104792</w:t>
        </w:r>
      </w:hyperlink>
      <w:r w:rsidRPr="0010159D">
        <w:rPr>
          <w:rFonts w:eastAsia="Times New Roman" w:cstheme="minorHAnsi"/>
          <w:sz w:val="24"/>
          <w:szCs w:val="24"/>
          <w:lang w:eastAsia="nl-NL"/>
        </w:rPr>
        <w:t xml:space="preserve">  All of the EHS group in this study turn out to be radiosensitive to X rays with a delayed DNA reparation.</w:t>
      </w:r>
    </w:p>
    <w:p w14:paraId="0C7ED12B" w14:textId="77777777" w:rsidR="002A7C74" w:rsidRPr="0010159D" w:rsidRDefault="002A7C74" w:rsidP="002A7C74">
      <w:pPr>
        <w:rPr>
          <w:rFonts w:cstheme="minorHAnsi"/>
          <w:sz w:val="24"/>
          <w:szCs w:val="24"/>
        </w:rPr>
      </w:pPr>
      <w:r w:rsidRPr="0010159D">
        <w:rPr>
          <w:rFonts w:cstheme="minorHAnsi"/>
          <w:sz w:val="24"/>
          <w:szCs w:val="24"/>
        </w:rPr>
        <w:t xml:space="preserve">This </w:t>
      </w:r>
      <w:r>
        <w:rPr>
          <w:rFonts w:cstheme="minorHAnsi"/>
          <w:sz w:val="24"/>
          <w:szCs w:val="24"/>
        </w:rPr>
        <w:t xml:space="preserve">study </w:t>
      </w:r>
      <w:r w:rsidRPr="0010159D">
        <w:rPr>
          <w:rFonts w:cstheme="minorHAnsi"/>
          <w:sz w:val="24"/>
          <w:szCs w:val="24"/>
        </w:rPr>
        <w:t>could also provide a lead for a mechanism underlying EHS</w:t>
      </w:r>
      <w:r>
        <w:rPr>
          <w:rFonts w:cstheme="minorHAnsi"/>
          <w:sz w:val="24"/>
          <w:szCs w:val="24"/>
        </w:rPr>
        <w:t xml:space="preserve">: </w:t>
      </w:r>
      <w:r w:rsidRPr="0010159D">
        <w:rPr>
          <w:rFonts w:cstheme="minorHAnsi"/>
          <w:sz w:val="24"/>
          <w:szCs w:val="24"/>
        </w:rPr>
        <w:t>.</w:t>
      </w:r>
      <w:r w:rsidRPr="0010159D">
        <w:rPr>
          <w:rFonts w:cstheme="minorHAnsi"/>
          <w:b/>
          <w:bCs/>
          <w:sz w:val="24"/>
          <w:szCs w:val="24"/>
        </w:rPr>
        <w:t>Hypothesis: ultrasonography can document dynamic in vivo rouleaux formation due to mobile phone exposure</w:t>
      </w:r>
      <w:r w:rsidRPr="0010159D">
        <w:rPr>
          <w:rFonts w:cstheme="minorHAnsi"/>
          <w:sz w:val="24"/>
          <w:szCs w:val="24"/>
        </w:rPr>
        <w:t xml:space="preserve"> by R.R. Brown </w:t>
      </w:r>
      <w:hyperlink r:id="rId12" w:history="1">
        <w:r w:rsidRPr="0010159D">
          <w:rPr>
            <w:rStyle w:val="Hyperlink"/>
            <w:rFonts w:cstheme="minorHAnsi"/>
            <w:sz w:val="24"/>
            <w:szCs w:val="24"/>
          </w:rPr>
          <w:t>https://doi.org/10.3389/fcvm.2025.1499499</w:t>
        </w:r>
      </w:hyperlink>
      <w:r w:rsidRPr="0010159D">
        <w:rPr>
          <w:rFonts w:cstheme="minorHAnsi"/>
          <w:sz w:val="24"/>
          <w:szCs w:val="24"/>
        </w:rPr>
        <w:t xml:space="preserve"> </w:t>
      </w:r>
    </w:p>
    <w:p w14:paraId="782B0CD9" w14:textId="77777777" w:rsidR="002A7C74" w:rsidRDefault="002A7C74" w:rsidP="002A7C74">
      <w:pPr>
        <w:rPr>
          <w:rFonts w:cstheme="minorHAnsi"/>
          <w:sz w:val="24"/>
          <w:szCs w:val="24"/>
        </w:rPr>
      </w:pPr>
    </w:p>
    <w:p w14:paraId="2698E3CF" w14:textId="77777777" w:rsidR="002A7C74" w:rsidRPr="0010159D" w:rsidRDefault="002A7C74" w:rsidP="002A7C74">
      <w:pPr>
        <w:rPr>
          <w:rFonts w:cstheme="minorHAnsi"/>
          <w:sz w:val="24"/>
          <w:szCs w:val="24"/>
        </w:rPr>
      </w:pPr>
      <w:r w:rsidRPr="00DD7DC8">
        <w:rPr>
          <w:rFonts w:cstheme="minorHAnsi"/>
          <w:b/>
          <w:bCs/>
          <w:sz w:val="24"/>
          <w:szCs w:val="24"/>
        </w:rPr>
        <w:t>Diagnosing and treatment</w:t>
      </w:r>
      <w:r>
        <w:rPr>
          <w:rFonts w:cstheme="minorHAnsi"/>
          <w:b/>
          <w:bCs/>
          <w:sz w:val="24"/>
          <w:szCs w:val="24"/>
        </w:rPr>
        <w:br/>
      </w:r>
      <w:r w:rsidRPr="0010159D">
        <w:rPr>
          <w:rFonts w:cstheme="minorHAnsi"/>
          <w:sz w:val="24"/>
          <w:szCs w:val="24"/>
        </w:rPr>
        <w:t>The primary method of treatment when EHS should mainly focus on the prevention or reduction of EMF exposure, that is, reducing or eliminating all sources of high EMF exposure.</w:t>
      </w:r>
    </w:p>
    <w:p w14:paraId="52684328" w14:textId="77777777" w:rsidR="002A7C74" w:rsidRPr="0010159D" w:rsidRDefault="002A7C74" w:rsidP="002A7C74">
      <w:pPr>
        <w:rPr>
          <w:rFonts w:cstheme="minorHAnsi"/>
          <w:sz w:val="24"/>
          <w:szCs w:val="24"/>
        </w:rPr>
      </w:pPr>
      <w:r w:rsidRPr="0010159D">
        <w:rPr>
          <w:rFonts w:cstheme="minorHAnsi"/>
          <w:sz w:val="24"/>
          <w:szCs w:val="24"/>
        </w:rPr>
        <w:t xml:space="preserve">EUROPAEM, a consortium of international researchers and health professionals, give in </w:t>
      </w:r>
      <w:hyperlink r:id="rId13" w:history="1">
        <w:r w:rsidRPr="0010159D">
          <w:rPr>
            <w:rStyle w:val="Hyperlink"/>
            <w:rFonts w:cstheme="minorHAnsi"/>
            <w:sz w:val="24"/>
            <w:szCs w:val="24"/>
          </w:rPr>
          <w:t>The EUROPAEM EMF Guide</w:t>
        </w:r>
      </w:hyperlink>
      <w:r w:rsidRPr="0010159D">
        <w:rPr>
          <w:rFonts w:cstheme="minorHAnsi"/>
          <w:sz w:val="24"/>
          <w:szCs w:val="24"/>
        </w:rPr>
        <w:t xml:space="preserve"> comprehensive guidelines aimed at the prevention of health problems from electromagnetic radiation, and has developed the guide to provide a systematic approach to the diagnosis, treatment and prevention of health problems caused by electromagnetic radiation.</w:t>
      </w:r>
    </w:p>
    <w:p w14:paraId="04E52FE6" w14:textId="77777777" w:rsidR="002A7C74" w:rsidRPr="00165513" w:rsidRDefault="002A7C74" w:rsidP="002A7C74">
      <w:pPr>
        <w:rPr>
          <w:rFonts w:cstheme="minorHAnsi"/>
          <w:sz w:val="24"/>
          <w:szCs w:val="24"/>
        </w:rPr>
      </w:pPr>
      <w:r w:rsidRPr="0010159D">
        <w:rPr>
          <w:rFonts w:cstheme="minorHAnsi"/>
          <w:sz w:val="24"/>
          <w:szCs w:val="24"/>
        </w:rPr>
        <w:t xml:space="preserve">Also in </w:t>
      </w:r>
      <w:hyperlink r:id="rId14" w:history="1">
        <w:r w:rsidRPr="0010159D">
          <w:rPr>
            <w:rStyle w:val="Hyperlink"/>
            <w:rFonts w:cstheme="minorHAnsi"/>
            <w:sz w:val="24"/>
            <w:szCs w:val="24"/>
          </w:rPr>
          <w:t>SBM-24</w:t>
        </w:r>
      </w:hyperlink>
      <w:r w:rsidRPr="0010159D">
        <w:rPr>
          <w:rFonts w:cstheme="minorHAnsi"/>
          <w:sz w:val="24"/>
          <w:szCs w:val="24"/>
        </w:rPr>
        <w:t xml:space="preserve"> one can find practically proven safe levels of EM</w:t>
      </w:r>
      <w:r>
        <w:rPr>
          <w:rFonts w:cstheme="minorHAnsi"/>
          <w:sz w:val="24"/>
          <w:szCs w:val="24"/>
        </w:rPr>
        <w:t>F</w:t>
      </w:r>
      <w:r w:rsidRPr="0010159D">
        <w:rPr>
          <w:rFonts w:cstheme="minorHAnsi"/>
          <w:sz w:val="24"/>
          <w:szCs w:val="24"/>
        </w:rPr>
        <w:t>.</w:t>
      </w:r>
      <w:r>
        <w:rPr>
          <w:rFonts w:cstheme="minorHAnsi"/>
          <w:sz w:val="24"/>
          <w:szCs w:val="24"/>
        </w:rPr>
        <w:t xml:space="preserve"> </w:t>
      </w:r>
      <w:r w:rsidRPr="00130E0C">
        <w:rPr>
          <w:rFonts w:cstheme="minorHAnsi"/>
          <w:sz w:val="24"/>
          <w:szCs w:val="24"/>
        </w:rPr>
        <w:t>For example: in the case of EHS, RF-EMF radiation levels must be below 1 µW/m²</w:t>
      </w:r>
      <w:r>
        <w:rPr>
          <w:rFonts w:cstheme="minorHAnsi"/>
          <w:sz w:val="24"/>
          <w:szCs w:val="24"/>
        </w:rPr>
        <w:t xml:space="preserve">. </w:t>
      </w:r>
      <w:r w:rsidRPr="00165513">
        <w:rPr>
          <w:rFonts w:cstheme="minorHAnsi"/>
          <w:sz w:val="24"/>
          <w:szCs w:val="24"/>
        </w:rPr>
        <w:t>What to do now in the world ou</w:t>
      </w:r>
      <w:r>
        <w:rPr>
          <w:rFonts w:cstheme="minorHAnsi"/>
          <w:sz w:val="24"/>
          <w:szCs w:val="24"/>
        </w:rPr>
        <w:t xml:space="preserve">tside numbers of 30,000 </w:t>
      </w:r>
      <w:r w:rsidRPr="00165513">
        <w:rPr>
          <w:rFonts w:cstheme="minorHAnsi"/>
          <w:sz w:val="24"/>
          <w:szCs w:val="24"/>
        </w:rPr>
        <w:t xml:space="preserve">μW/m² </w:t>
      </w:r>
      <w:r>
        <w:rPr>
          <w:rFonts w:cstheme="minorHAnsi"/>
          <w:sz w:val="24"/>
          <w:szCs w:val="24"/>
        </w:rPr>
        <w:t xml:space="preserve">are quite common? </w:t>
      </w:r>
      <w:r w:rsidRPr="00165513">
        <w:rPr>
          <w:rFonts w:cstheme="minorHAnsi"/>
          <w:sz w:val="24"/>
          <w:szCs w:val="24"/>
        </w:rPr>
        <w:t xml:space="preserve">10-1000 μW/m² will already lead to severe anomaly. </w:t>
      </w:r>
    </w:p>
    <w:p w14:paraId="676B4047" w14:textId="77777777" w:rsidR="002A7C74" w:rsidRDefault="002A7C74" w:rsidP="002A7C74">
      <w:pPr>
        <w:rPr>
          <w:rFonts w:cstheme="minorHAnsi"/>
          <w:sz w:val="24"/>
          <w:szCs w:val="24"/>
        </w:rPr>
      </w:pPr>
      <w:r w:rsidRPr="0005167D">
        <w:rPr>
          <w:rFonts w:cstheme="minorHAnsi"/>
          <w:b/>
          <w:bCs/>
          <w:sz w:val="24"/>
          <w:szCs w:val="24"/>
        </w:rPr>
        <w:lastRenderedPageBreak/>
        <w:t>What can authorities do?</w:t>
      </w:r>
      <w:r>
        <w:rPr>
          <w:rFonts w:cstheme="minorHAnsi"/>
          <w:b/>
          <w:bCs/>
          <w:sz w:val="24"/>
          <w:szCs w:val="24"/>
        </w:rPr>
        <w:br/>
      </w:r>
      <w:r w:rsidRPr="00FD34B8">
        <w:rPr>
          <w:rFonts w:cstheme="minorHAnsi"/>
          <w:sz w:val="24"/>
          <w:szCs w:val="24"/>
        </w:rPr>
        <w:t>The exposure limits set by the authorities should also allow vulnerable groups to lead healthy lives. This is not the case at present.</w:t>
      </w:r>
      <w:r w:rsidRPr="00FD34B8">
        <w:t xml:space="preserve"> </w:t>
      </w:r>
      <w:r w:rsidRPr="00FD34B8">
        <w:rPr>
          <w:rFonts w:cstheme="minorHAnsi"/>
          <w:sz w:val="24"/>
          <w:szCs w:val="24"/>
        </w:rPr>
        <w:t xml:space="preserve">The gap between the standards recommended here – which are perceived as </w:t>
      </w:r>
      <w:r>
        <w:rPr>
          <w:rFonts w:cstheme="minorHAnsi"/>
          <w:sz w:val="24"/>
          <w:szCs w:val="24"/>
        </w:rPr>
        <w:t xml:space="preserve">really </w:t>
      </w:r>
      <w:r w:rsidRPr="00FD34B8">
        <w:rPr>
          <w:rFonts w:cstheme="minorHAnsi"/>
          <w:sz w:val="24"/>
          <w:szCs w:val="24"/>
        </w:rPr>
        <w:t>helpful – and those applied by the government is so wide that it is clear the government must take constructive measures to ensure these people can lead a life with dignity.</w:t>
      </w:r>
    </w:p>
    <w:p w14:paraId="188DC6B3" w14:textId="4EF19117" w:rsidR="002A7C74" w:rsidRPr="00D80190" w:rsidRDefault="002A7C74" w:rsidP="002A7C74">
      <w:pPr>
        <w:pStyle w:val="Lijstalinea"/>
        <w:numPr>
          <w:ilvl w:val="0"/>
          <w:numId w:val="1"/>
        </w:numPr>
        <w:rPr>
          <w:rFonts w:cstheme="minorHAnsi"/>
          <w:sz w:val="24"/>
          <w:szCs w:val="24"/>
          <w:lang w:val="da-DK"/>
        </w:rPr>
      </w:pPr>
      <w:r w:rsidRPr="00D80190">
        <w:rPr>
          <w:rFonts w:cstheme="minorHAnsi"/>
          <w:sz w:val="24"/>
          <w:szCs w:val="24"/>
          <w:lang w:val="da-DK"/>
        </w:rPr>
        <w:t>Lower exposure limits</w:t>
      </w:r>
      <w:r>
        <w:rPr>
          <w:rFonts w:cstheme="minorHAnsi"/>
          <w:sz w:val="24"/>
          <w:szCs w:val="24"/>
          <w:lang w:val="da-DK"/>
        </w:rPr>
        <w:t xml:space="preserve"> </w:t>
      </w:r>
      <w:r w:rsidRPr="002A7C74">
        <w:rPr>
          <w:rFonts w:cstheme="minorHAnsi"/>
          <w:sz w:val="24"/>
          <w:szCs w:val="24"/>
          <w:lang w:val="da-DK"/>
        </w:rPr>
        <w:t>, no need for cell mast to</w:t>
      </w:r>
      <w:r>
        <w:rPr>
          <w:rFonts w:cstheme="minorHAnsi"/>
          <w:sz w:val="24"/>
          <w:szCs w:val="24"/>
          <w:lang w:val="da-DK"/>
        </w:rPr>
        <w:t xml:space="preserve"> radiate inside the house</w:t>
      </w:r>
    </w:p>
    <w:p w14:paraId="52B2D45F" w14:textId="77777777" w:rsidR="002A7C74" w:rsidRDefault="002A7C74" w:rsidP="002A7C74">
      <w:pPr>
        <w:pStyle w:val="Lijstalinea"/>
        <w:numPr>
          <w:ilvl w:val="0"/>
          <w:numId w:val="1"/>
        </w:numPr>
        <w:rPr>
          <w:rFonts w:cstheme="minorHAnsi"/>
          <w:sz w:val="24"/>
          <w:szCs w:val="24"/>
          <w:lang w:val="da-DK"/>
        </w:rPr>
      </w:pPr>
      <w:r>
        <w:rPr>
          <w:rFonts w:cstheme="minorHAnsi"/>
          <w:sz w:val="24"/>
          <w:szCs w:val="24"/>
          <w:lang w:val="da-DK"/>
        </w:rPr>
        <w:t xml:space="preserve">EMF free zones, - </w:t>
      </w:r>
      <w:r w:rsidRPr="00D80190">
        <w:rPr>
          <w:rFonts w:cstheme="minorHAnsi"/>
          <w:sz w:val="24"/>
          <w:szCs w:val="24"/>
          <w:lang w:val="da-DK"/>
        </w:rPr>
        <w:t>time periods</w:t>
      </w:r>
      <w:r>
        <w:rPr>
          <w:rFonts w:cstheme="minorHAnsi"/>
          <w:sz w:val="24"/>
          <w:szCs w:val="24"/>
          <w:lang w:val="da-DK"/>
        </w:rPr>
        <w:t>, - facilities, - designs</w:t>
      </w:r>
    </w:p>
    <w:p w14:paraId="120C91E1" w14:textId="6AF8340C" w:rsidR="002A7C74" w:rsidRPr="002A7C74" w:rsidRDefault="002A7C74" w:rsidP="002A7C74">
      <w:pPr>
        <w:pStyle w:val="Lijstalinea"/>
        <w:numPr>
          <w:ilvl w:val="0"/>
          <w:numId w:val="1"/>
        </w:numPr>
        <w:rPr>
          <w:rFonts w:cstheme="minorHAnsi"/>
          <w:sz w:val="24"/>
          <w:szCs w:val="24"/>
          <w:lang w:val="da-DK"/>
        </w:rPr>
      </w:pPr>
      <w:r w:rsidRPr="002A7C74">
        <w:rPr>
          <w:rFonts w:cstheme="minorHAnsi"/>
          <w:sz w:val="24"/>
          <w:szCs w:val="24"/>
          <w:lang w:val="da-DK"/>
        </w:rPr>
        <w:t>ALARA in general</w:t>
      </w:r>
      <w:r w:rsidRPr="002A7C74">
        <w:rPr>
          <w:rFonts w:cstheme="minorHAnsi"/>
          <w:sz w:val="24"/>
          <w:szCs w:val="24"/>
          <w:lang w:val="da-DK"/>
        </w:rPr>
        <w:t>,</w:t>
      </w:r>
      <w:r w:rsidRPr="002A7C74">
        <w:rPr>
          <w:lang w:val="da-DK"/>
        </w:rPr>
        <w:t xml:space="preserve"> </w:t>
      </w:r>
      <w:r w:rsidRPr="002A7C74">
        <w:rPr>
          <w:rFonts w:cstheme="minorHAnsi"/>
          <w:sz w:val="24"/>
          <w:szCs w:val="24"/>
          <w:lang w:val="da-DK"/>
        </w:rPr>
        <w:t>preference for hard-wired connections</w:t>
      </w:r>
      <w:r w:rsidRPr="002A7C74">
        <w:rPr>
          <w:rFonts w:cstheme="minorHAnsi"/>
          <w:sz w:val="24"/>
          <w:szCs w:val="24"/>
          <w:lang w:val="da-DK"/>
        </w:rPr>
        <w:t>, Lifi</w:t>
      </w:r>
    </w:p>
    <w:p w14:paraId="074517D8" w14:textId="1447807C" w:rsidR="002A7C74" w:rsidRDefault="002A7C74" w:rsidP="002A7C74">
      <w:pPr>
        <w:pStyle w:val="Lijstalinea"/>
        <w:numPr>
          <w:ilvl w:val="0"/>
          <w:numId w:val="1"/>
        </w:numPr>
        <w:rPr>
          <w:rFonts w:cstheme="minorHAnsi"/>
          <w:sz w:val="24"/>
          <w:szCs w:val="24"/>
          <w:lang w:val="da-DK"/>
        </w:rPr>
      </w:pPr>
      <w:r w:rsidRPr="00891305">
        <w:rPr>
          <w:rFonts w:cstheme="minorHAnsi"/>
          <w:sz w:val="24"/>
          <w:szCs w:val="24"/>
          <w:lang w:val="da-DK"/>
        </w:rPr>
        <w:t xml:space="preserve">ALATA for the vulnerable, </w:t>
      </w:r>
      <w:r>
        <w:rPr>
          <w:rFonts w:cstheme="minorHAnsi"/>
          <w:sz w:val="24"/>
          <w:szCs w:val="24"/>
          <w:lang w:val="da-DK"/>
        </w:rPr>
        <w:t>a</w:t>
      </w:r>
      <w:r w:rsidRPr="002A7C74">
        <w:rPr>
          <w:rFonts w:cstheme="minorHAnsi"/>
          <w:sz w:val="24"/>
          <w:szCs w:val="24"/>
          <w:lang w:val="da-DK"/>
        </w:rPr>
        <w:t xml:space="preserve"> life free from EMF must be made possible</w:t>
      </w:r>
    </w:p>
    <w:p w14:paraId="0A9E199C" w14:textId="77777777" w:rsidR="002A7C74" w:rsidRDefault="002A7C74" w:rsidP="002A7C74">
      <w:pPr>
        <w:pStyle w:val="Geenafstand"/>
        <w:rPr>
          <w:lang w:val="da-DK"/>
        </w:rPr>
      </w:pPr>
    </w:p>
    <w:p w14:paraId="6E491BA9" w14:textId="77777777" w:rsidR="002A7C74" w:rsidRPr="00BD6ABD" w:rsidRDefault="002A7C74" w:rsidP="002A7C74">
      <w:pPr>
        <w:pStyle w:val="Geenafstand"/>
        <w:rPr>
          <w:sz w:val="24"/>
          <w:szCs w:val="24"/>
        </w:rPr>
      </w:pPr>
      <w:r w:rsidRPr="00BD6ABD">
        <w:rPr>
          <w:sz w:val="24"/>
          <w:szCs w:val="24"/>
        </w:rPr>
        <w:t>This is urgent!</w:t>
      </w:r>
    </w:p>
    <w:p w14:paraId="05B70B43" w14:textId="77777777" w:rsidR="002A7C74" w:rsidRPr="00BD6ABD" w:rsidRDefault="002A7C74" w:rsidP="002A7C74">
      <w:pPr>
        <w:pStyle w:val="Geenafstand"/>
        <w:rPr>
          <w:b/>
          <w:bCs/>
          <w:sz w:val="24"/>
          <w:szCs w:val="24"/>
        </w:rPr>
      </w:pPr>
      <w:r w:rsidRPr="00BD6ABD">
        <w:rPr>
          <w:sz w:val="24"/>
          <w:szCs w:val="24"/>
        </w:rPr>
        <w:t>ICBE-EMF says</w:t>
      </w:r>
      <w:r w:rsidRPr="00BD6ABD">
        <w:t xml:space="preserve">  </w:t>
      </w:r>
      <w:hyperlink r:id="rId15" w:history="1">
        <w:r w:rsidRPr="00BD6ABD">
          <w:rPr>
            <w:rStyle w:val="Hyperlink"/>
            <w:b/>
            <w:bCs/>
            <w:sz w:val="24"/>
            <w:szCs w:val="24"/>
          </w:rPr>
          <w:t>ELECTROMAGNETIC HYPERSENSITIVITY (EHS) IS A HUMANITARIAN CRISIS THAT REQUIRES AN URGENT RESPONSE.</w:t>
        </w:r>
      </w:hyperlink>
    </w:p>
    <w:p w14:paraId="265AB31B" w14:textId="77777777" w:rsidR="00504315" w:rsidRDefault="00504315"/>
    <w:sectPr w:rsidR="005043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6690C"/>
    <w:multiLevelType w:val="hybridMultilevel"/>
    <w:tmpl w:val="1D222BD4"/>
    <w:lvl w:ilvl="0" w:tplc="284EB89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571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C74"/>
    <w:rsid w:val="002A7C74"/>
    <w:rsid w:val="004D4332"/>
    <w:rsid w:val="005043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F847"/>
  <w15:chartTrackingRefBased/>
  <w15:docId w15:val="{36777C50-16CB-445B-989B-13AE577E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C74"/>
  </w:style>
  <w:style w:type="paragraph" w:styleId="Kop1">
    <w:name w:val="heading 1"/>
    <w:basedOn w:val="Standaard"/>
    <w:next w:val="Standaard"/>
    <w:link w:val="Kop1Char"/>
    <w:uiPriority w:val="9"/>
    <w:qFormat/>
    <w:rsid w:val="002A7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A7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A7C7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A7C7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A7C7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A7C7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7C7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7C7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7C7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7C7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A7C7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A7C7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A7C7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A7C7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A7C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A7C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A7C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A7C74"/>
    <w:rPr>
      <w:rFonts w:eastAsiaTheme="majorEastAsia" w:cstheme="majorBidi"/>
      <w:color w:val="272727" w:themeColor="text1" w:themeTint="D8"/>
    </w:rPr>
  </w:style>
  <w:style w:type="paragraph" w:styleId="Titel">
    <w:name w:val="Title"/>
    <w:basedOn w:val="Standaard"/>
    <w:next w:val="Standaard"/>
    <w:link w:val="TitelChar"/>
    <w:uiPriority w:val="10"/>
    <w:qFormat/>
    <w:rsid w:val="002A7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7C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7C7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7C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7C7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7C74"/>
    <w:rPr>
      <w:i/>
      <w:iCs/>
      <w:color w:val="404040" w:themeColor="text1" w:themeTint="BF"/>
    </w:rPr>
  </w:style>
  <w:style w:type="paragraph" w:styleId="Lijstalinea">
    <w:name w:val="List Paragraph"/>
    <w:basedOn w:val="Standaard"/>
    <w:uiPriority w:val="34"/>
    <w:qFormat/>
    <w:rsid w:val="002A7C74"/>
    <w:pPr>
      <w:ind w:left="720"/>
      <w:contextualSpacing/>
    </w:pPr>
  </w:style>
  <w:style w:type="character" w:styleId="Intensievebenadrukking">
    <w:name w:val="Intense Emphasis"/>
    <w:basedOn w:val="Standaardalinea-lettertype"/>
    <w:uiPriority w:val="21"/>
    <w:qFormat/>
    <w:rsid w:val="002A7C74"/>
    <w:rPr>
      <w:i/>
      <w:iCs/>
      <w:color w:val="2F5496" w:themeColor="accent1" w:themeShade="BF"/>
    </w:rPr>
  </w:style>
  <w:style w:type="paragraph" w:styleId="Duidelijkcitaat">
    <w:name w:val="Intense Quote"/>
    <w:basedOn w:val="Standaard"/>
    <w:next w:val="Standaard"/>
    <w:link w:val="DuidelijkcitaatChar"/>
    <w:uiPriority w:val="30"/>
    <w:qFormat/>
    <w:rsid w:val="002A7C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A7C74"/>
    <w:rPr>
      <w:i/>
      <w:iCs/>
      <w:color w:val="2F5496" w:themeColor="accent1" w:themeShade="BF"/>
    </w:rPr>
  </w:style>
  <w:style w:type="character" w:styleId="Intensieveverwijzing">
    <w:name w:val="Intense Reference"/>
    <w:basedOn w:val="Standaardalinea-lettertype"/>
    <w:uiPriority w:val="32"/>
    <w:qFormat/>
    <w:rsid w:val="002A7C74"/>
    <w:rPr>
      <w:b/>
      <w:bCs/>
      <w:smallCaps/>
      <w:color w:val="2F5496" w:themeColor="accent1" w:themeShade="BF"/>
      <w:spacing w:val="5"/>
    </w:rPr>
  </w:style>
  <w:style w:type="character" w:styleId="Hyperlink">
    <w:name w:val="Hyperlink"/>
    <w:basedOn w:val="Standaardalinea-lettertype"/>
    <w:uiPriority w:val="99"/>
    <w:unhideWhenUsed/>
    <w:rsid w:val="002A7C74"/>
    <w:rPr>
      <w:color w:val="0563C1" w:themeColor="hyperlink"/>
      <w:u w:val="single"/>
    </w:rPr>
  </w:style>
  <w:style w:type="character" w:customStyle="1" w:styleId="inline">
    <w:name w:val="inline"/>
    <w:basedOn w:val="Standaardalinea-lettertype"/>
    <w:rsid w:val="002A7C74"/>
  </w:style>
  <w:style w:type="paragraph" w:styleId="Geenafstand">
    <w:name w:val="No Spacing"/>
    <w:uiPriority w:val="1"/>
    <w:qFormat/>
    <w:rsid w:val="002A7C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ijms22147321" TargetMode="External"/><Relationship Id="rId13" Type="http://schemas.openxmlformats.org/officeDocument/2006/relationships/hyperlink" Target="https://europaem.eu/emf-guide-from-europaem-protection-prevention/" TargetMode="External"/><Relationship Id="rId3" Type="http://schemas.openxmlformats.org/officeDocument/2006/relationships/settings" Target="settings.xml"/><Relationship Id="rId7" Type="http://schemas.openxmlformats.org/officeDocument/2006/relationships/hyperlink" Target="https://doi.org/10.1016/j.envres.2020.109445" TargetMode="External"/><Relationship Id="rId12" Type="http://schemas.openxmlformats.org/officeDocument/2006/relationships/hyperlink" Target="https://doi.org/10.3389/fcvm.2025.149949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1515/reveh-2015-0027?urlappend=%3Futm_source%3Dresearchgate.net%26utm_medium%3Darticle" TargetMode="External"/><Relationship Id="rId11" Type="http://schemas.openxmlformats.org/officeDocument/2006/relationships/hyperlink" Target="https://doi.org/10.3390/ijms26104792" TargetMode="External"/><Relationship Id="rId5" Type="http://schemas.openxmlformats.org/officeDocument/2006/relationships/hyperlink" Target="https://doi.org/10.15436/2378-6841.19.2402" TargetMode="External"/><Relationship Id="rId15" Type="http://schemas.openxmlformats.org/officeDocument/2006/relationships/hyperlink" Target="https://icbe-emf.org/wp-content/uploads/2025/01/ELECTROMAGNETIC-HYPERSENSITIVITY-EHS-IS-A-HUMANITARIAN-CRISIS-THAT-REQUIRES-AN-URGENT-RESPONSE-1.pdf" TargetMode="External"/><Relationship Id="rId10" Type="http://schemas.openxmlformats.org/officeDocument/2006/relationships/hyperlink" Target="https://doi.org/10.1155/2014/924184" TargetMode="External"/><Relationship Id="rId4" Type="http://schemas.openxmlformats.org/officeDocument/2006/relationships/webSettings" Target="webSettings.xml"/><Relationship Id="rId9" Type="http://schemas.openxmlformats.org/officeDocument/2006/relationships/hyperlink" Target="https://www.researchgate.net/publication/366088533_Electro-hypersensitivity_as_a_Worldwide_Man-made_Electromagnetic_Pathology." TargetMode="External"/><Relationship Id="rId14" Type="http://schemas.openxmlformats.org/officeDocument/2006/relationships/hyperlink" Target="https://buildingbiology.com/site/downloads/SBM-2024_EVALUATION_GUIDELINES_EN.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1198</Words>
  <Characters>6591</Characters>
  <Application>Microsoft Office Word</Application>
  <DocSecurity>0</DocSecurity>
  <Lines>54</Lines>
  <Paragraphs>15</Paragraphs>
  <ScaleCrop>false</ScaleCrop>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Corrielle van Vuuren</dc:creator>
  <cp:keywords/>
  <dc:description/>
  <cp:lastModifiedBy>Corrielle van Vuuren</cp:lastModifiedBy>
  <cp:revision>1</cp:revision>
  <dcterms:created xsi:type="dcterms:W3CDTF">2026-10-20T19:22:00Z</dcterms:created>
  <dcterms:modified xsi:type="dcterms:W3CDTF">2026-10-20T19:32:00Z</dcterms:modified>
</cp:coreProperties>
</file>