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C6F25" w14:textId="77777777" w:rsidR="002753CD" w:rsidRPr="002753CD" w:rsidRDefault="002753CD" w:rsidP="002753CD">
      <w:pPr>
        <w:rPr>
          <w:rFonts w:ascii="Times" w:hAnsi="Times" w:cs="Times"/>
          <w:b/>
          <w:bCs/>
        </w:rPr>
      </w:pPr>
      <w:proofErr w:type="spellStart"/>
      <w:r w:rsidRPr="002753CD">
        <w:rPr>
          <w:rFonts w:ascii="Times" w:hAnsi="Times" w:cs="Times"/>
          <w:b/>
          <w:bCs/>
        </w:rPr>
        <w:t>Bulletpoint</w:t>
      </w:r>
      <w:proofErr w:type="spellEnd"/>
      <w:r w:rsidRPr="002753CD">
        <w:rPr>
          <w:rFonts w:ascii="Times" w:hAnsi="Times" w:cs="Times"/>
          <w:b/>
          <w:bCs/>
        </w:rPr>
        <w:t xml:space="preserve"> action items—re: wireless radiation health issues</w:t>
      </w:r>
    </w:p>
    <w:p w14:paraId="7090CCA9" w14:textId="77777777" w:rsidR="002753CD" w:rsidRPr="002753CD" w:rsidRDefault="002753CD" w:rsidP="002753CD">
      <w:pPr>
        <w:rPr>
          <w:rFonts w:ascii="Times" w:hAnsi="Times" w:cs="Times"/>
          <w:sz w:val="20"/>
          <w:szCs w:val="20"/>
        </w:rPr>
      </w:pPr>
    </w:p>
    <w:p w14:paraId="7E0850A6" w14:textId="77777777" w:rsidR="002753CD" w:rsidRPr="002753CD" w:rsidRDefault="002753CD" w:rsidP="002753CD">
      <w:pPr>
        <w:rPr>
          <w:rFonts w:ascii="Times" w:hAnsi="Times" w:cs="Times"/>
          <w:sz w:val="20"/>
          <w:szCs w:val="20"/>
        </w:rPr>
      </w:pPr>
      <w:r w:rsidRPr="002753CD">
        <w:rPr>
          <w:rFonts w:ascii="Times" w:hAnsi="Times" w:cs="Times"/>
          <w:sz w:val="20"/>
          <w:szCs w:val="20"/>
        </w:rPr>
        <w:t>The legal definition of the ADA should be upheld and should not apply only to “access barriers.”  It should, by definition, bring the power of the law to prevent illness from wireless exposure from being imposed upon those it makes ill.  We need to also get rid of the communist and communitarian-derived narrative that we should have to sacrifice our health for the “common good.”  In America, individual rights are guaranteed to us by the Constitution.  My friend, Arlene, in her 90s, is being tortured by wireless technology and slowly burned to death in her Boston apartment.  She has nowhere to turn for safety or for justice.  That is not for the “greater good.”</w:t>
      </w:r>
    </w:p>
    <w:p w14:paraId="200AE7D1" w14:textId="77777777" w:rsidR="002753CD" w:rsidRPr="002753CD" w:rsidRDefault="002753CD" w:rsidP="002753CD">
      <w:pPr>
        <w:rPr>
          <w:rFonts w:ascii="Times" w:hAnsi="Times" w:cs="Times"/>
          <w:sz w:val="20"/>
          <w:szCs w:val="20"/>
        </w:rPr>
      </w:pPr>
    </w:p>
    <w:p w14:paraId="5D6C0BF9" w14:textId="77777777" w:rsidR="002753CD" w:rsidRPr="002753CD" w:rsidRDefault="002753CD" w:rsidP="002753CD">
      <w:pPr>
        <w:rPr>
          <w:rFonts w:ascii="Times" w:hAnsi="Times" w:cs="Times"/>
          <w:sz w:val="20"/>
          <w:szCs w:val="20"/>
        </w:rPr>
      </w:pPr>
      <w:r w:rsidRPr="002753CD">
        <w:rPr>
          <w:rFonts w:ascii="Times" w:hAnsi="Times" w:cs="Times"/>
          <w:sz w:val="20"/>
          <w:szCs w:val="20"/>
        </w:rPr>
        <w:t>Mandate the provision of no-</w:t>
      </w:r>
      <w:proofErr w:type="spellStart"/>
      <w:r w:rsidRPr="002753CD">
        <w:rPr>
          <w:rFonts w:ascii="Times" w:hAnsi="Times" w:cs="Times"/>
          <w:sz w:val="20"/>
          <w:szCs w:val="20"/>
        </w:rPr>
        <w:t>WiFi</w:t>
      </w:r>
      <w:proofErr w:type="spellEnd"/>
      <w:r w:rsidRPr="002753CD">
        <w:rPr>
          <w:rFonts w:ascii="Times" w:hAnsi="Times" w:cs="Times"/>
          <w:sz w:val="20"/>
          <w:szCs w:val="20"/>
        </w:rPr>
        <w:t xml:space="preserve"> fiber optic cables for internet, phone and TV fiber optic service for those suffering from EMR-S.  Fiber without </w:t>
      </w:r>
      <w:proofErr w:type="spellStart"/>
      <w:r w:rsidRPr="002753CD">
        <w:rPr>
          <w:rFonts w:ascii="Times" w:hAnsi="Times" w:cs="Times"/>
          <w:sz w:val="20"/>
          <w:szCs w:val="20"/>
        </w:rPr>
        <w:t>WiFi</w:t>
      </w:r>
      <w:proofErr w:type="spellEnd"/>
      <w:r w:rsidRPr="002753CD">
        <w:rPr>
          <w:rFonts w:ascii="Times" w:hAnsi="Times" w:cs="Times"/>
          <w:sz w:val="20"/>
          <w:szCs w:val="20"/>
        </w:rPr>
        <w:t xml:space="preserve"> capabilities is available but they refuse to provide it.</w:t>
      </w:r>
    </w:p>
    <w:p w14:paraId="15144180" w14:textId="77777777" w:rsidR="002753CD" w:rsidRPr="002753CD" w:rsidRDefault="002753CD" w:rsidP="002753CD">
      <w:pPr>
        <w:rPr>
          <w:rFonts w:ascii="Times" w:hAnsi="Times" w:cs="Times"/>
          <w:sz w:val="20"/>
          <w:szCs w:val="20"/>
        </w:rPr>
      </w:pPr>
    </w:p>
    <w:p w14:paraId="45219082" w14:textId="77777777" w:rsidR="002753CD" w:rsidRPr="002753CD" w:rsidRDefault="002753CD" w:rsidP="002753CD">
      <w:pPr>
        <w:rPr>
          <w:rFonts w:ascii="Times" w:hAnsi="Times" w:cs="Times"/>
          <w:sz w:val="20"/>
          <w:szCs w:val="20"/>
        </w:rPr>
      </w:pPr>
      <w:r w:rsidRPr="002753CD">
        <w:rPr>
          <w:rFonts w:ascii="Times" w:hAnsi="Times" w:cs="Times"/>
          <w:sz w:val="20"/>
          <w:szCs w:val="20"/>
        </w:rPr>
        <w:t>Mandate the protection of copper telephone service and DSL internet for those who still have it and want to keep their copper lines.</w:t>
      </w:r>
    </w:p>
    <w:p w14:paraId="33B1B03B" w14:textId="77777777" w:rsidR="002753CD" w:rsidRPr="002753CD" w:rsidRDefault="002753CD" w:rsidP="002753CD">
      <w:pPr>
        <w:rPr>
          <w:rFonts w:ascii="Times" w:hAnsi="Times" w:cs="Times"/>
          <w:sz w:val="20"/>
          <w:szCs w:val="20"/>
        </w:rPr>
      </w:pPr>
    </w:p>
    <w:p w14:paraId="42C29B94" w14:textId="77777777" w:rsidR="002753CD" w:rsidRPr="002753CD" w:rsidRDefault="002753CD" w:rsidP="002753CD">
      <w:pPr>
        <w:rPr>
          <w:rFonts w:ascii="Times" w:hAnsi="Times" w:cs="Times"/>
          <w:sz w:val="20"/>
          <w:szCs w:val="20"/>
        </w:rPr>
      </w:pPr>
      <w:r w:rsidRPr="002753CD">
        <w:rPr>
          <w:rFonts w:ascii="Times" w:hAnsi="Times" w:cs="Times"/>
          <w:sz w:val="20"/>
          <w:szCs w:val="20"/>
        </w:rPr>
        <w:t>Education of insurance companies and doctors is needed for the delivery of care for EMR-S and for the recognition of the estimated 85% of targeted individuals who suffer from Havana Syndrome.  Consult with the five neurologists in the United States who have expertise in the diagnosis of Havana Syndrome among the civilian population, which still goes unrecognized.  A registry of these cases has been established and in it are 25 cases of civilians diagnosed with Havana Syndrome to date.</w:t>
      </w:r>
    </w:p>
    <w:p w14:paraId="3ED755EE" w14:textId="77777777" w:rsidR="002753CD" w:rsidRPr="002753CD" w:rsidRDefault="002753CD" w:rsidP="002753CD">
      <w:pPr>
        <w:rPr>
          <w:rFonts w:ascii="Times" w:hAnsi="Times" w:cs="Times"/>
          <w:sz w:val="20"/>
          <w:szCs w:val="20"/>
        </w:rPr>
      </w:pPr>
    </w:p>
    <w:p w14:paraId="66086B24"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Needed areas of medical research: illnesses from wireless radiation exposure in the causation of neuroendocrine, neuromuscular, neuroimmune, and neurocognitive diseases.  </w:t>
      </w:r>
      <w:proofErr w:type="gramStart"/>
      <w:r w:rsidRPr="002753CD">
        <w:rPr>
          <w:rFonts w:ascii="Times" w:hAnsi="Times" w:cs="Times"/>
          <w:sz w:val="20"/>
          <w:szCs w:val="20"/>
        </w:rPr>
        <w:t>Also</w:t>
      </w:r>
      <w:proofErr w:type="gramEnd"/>
      <w:r w:rsidRPr="002753CD">
        <w:rPr>
          <w:rFonts w:ascii="Times" w:hAnsi="Times" w:cs="Times"/>
          <w:sz w:val="20"/>
          <w:szCs w:val="20"/>
        </w:rPr>
        <w:t xml:space="preserve"> excessive calcium channel activation from wireless radiation exposure and its role in the causation of disease.  </w:t>
      </w:r>
    </w:p>
    <w:p w14:paraId="6C03428E" w14:textId="77777777" w:rsidR="002753CD" w:rsidRPr="002753CD" w:rsidRDefault="002753CD" w:rsidP="002753CD">
      <w:pPr>
        <w:rPr>
          <w:rFonts w:ascii="Times" w:hAnsi="Times" w:cs="Times"/>
          <w:sz w:val="20"/>
          <w:szCs w:val="20"/>
        </w:rPr>
      </w:pPr>
    </w:p>
    <w:p w14:paraId="541D32CD"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Another needed area of research concerns metals found in the brain designed with an affinity for neurons, which appear to serve as electrodes that amplify brain signals to connect the brain with </w:t>
      </w:r>
      <w:proofErr w:type="spellStart"/>
      <w:r w:rsidRPr="002753CD">
        <w:rPr>
          <w:rFonts w:ascii="Times" w:hAnsi="Times" w:cs="Times"/>
          <w:sz w:val="20"/>
          <w:szCs w:val="20"/>
        </w:rPr>
        <w:t>WiFi</w:t>
      </w:r>
      <w:proofErr w:type="spellEnd"/>
      <w:r w:rsidRPr="002753CD">
        <w:rPr>
          <w:rFonts w:ascii="Times" w:hAnsi="Times" w:cs="Times"/>
          <w:sz w:val="20"/>
          <w:szCs w:val="20"/>
        </w:rPr>
        <w:t xml:space="preserve"> and engage neurotechnological operations and data collection.  The discovery of radar-absorbing materials surreptitiously implanted in targeted individuals include implant technology, drug technology, </w:t>
      </w:r>
      <w:proofErr w:type="spellStart"/>
      <w:r w:rsidRPr="002753CD">
        <w:rPr>
          <w:rFonts w:ascii="Times" w:hAnsi="Times" w:cs="Times"/>
          <w:sz w:val="20"/>
          <w:szCs w:val="20"/>
        </w:rPr>
        <w:t>spectrotechnology</w:t>
      </w:r>
      <w:proofErr w:type="spellEnd"/>
      <w:r w:rsidRPr="002753CD">
        <w:rPr>
          <w:rFonts w:ascii="Times" w:hAnsi="Times" w:cs="Times"/>
          <w:sz w:val="20"/>
          <w:szCs w:val="20"/>
        </w:rPr>
        <w:t xml:space="preserve">, nanotechnology and microbial technology (using hydra and parasites as carriers).  They seem to have gotten there in three different ways: by drugging a person to render them unconscious, during surgeries, and from injections (dental anesthetics, vaccines). This also can likely be done with injected or ingested nanotechnology similar to DARPA N3.  A presentation on this subject from the group </w:t>
      </w:r>
      <w:proofErr w:type="spellStart"/>
      <w:r w:rsidRPr="002753CD">
        <w:rPr>
          <w:rFonts w:ascii="Times" w:hAnsi="Times" w:cs="Times"/>
          <w:sz w:val="20"/>
          <w:szCs w:val="20"/>
        </w:rPr>
        <w:t>Neuroethics</w:t>
      </w:r>
      <w:proofErr w:type="spellEnd"/>
      <w:r w:rsidRPr="002753CD">
        <w:rPr>
          <w:rFonts w:ascii="Times" w:hAnsi="Times" w:cs="Times"/>
          <w:sz w:val="20"/>
          <w:szCs w:val="20"/>
        </w:rPr>
        <w:t xml:space="preserve"> Now: https://drive.google.com/file/d/1D75OE4gmQcmquKnMXLIFQtv-8WGLAKCj/view?usp=drivesdk.  Also needed are methods of decontamination.  </w:t>
      </w:r>
    </w:p>
    <w:p w14:paraId="7F32CDFE" w14:textId="77777777" w:rsidR="002753CD" w:rsidRPr="002753CD" w:rsidRDefault="002753CD" w:rsidP="002753CD">
      <w:pPr>
        <w:rPr>
          <w:rFonts w:ascii="Times" w:hAnsi="Times" w:cs="Times"/>
          <w:sz w:val="20"/>
          <w:szCs w:val="20"/>
        </w:rPr>
      </w:pPr>
    </w:p>
    <w:p w14:paraId="5B157C36"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Federal agencies charged with the task of ethical oversight must be made ethical.  Involve the </w:t>
      </w:r>
      <w:proofErr w:type="spellStart"/>
      <w:r w:rsidRPr="002753CD">
        <w:rPr>
          <w:rFonts w:ascii="Times" w:hAnsi="Times" w:cs="Times"/>
          <w:sz w:val="20"/>
          <w:szCs w:val="20"/>
        </w:rPr>
        <w:t>Neurorights</w:t>
      </w:r>
      <w:proofErr w:type="spellEnd"/>
      <w:r w:rsidRPr="002753CD">
        <w:rPr>
          <w:rFonts w:ascii="Times" w:hAnsi="Times" w:cs="Times"/>
          <w:sz w:val="20"/>
          <w:szCs w:val="20"/>
        </w:rPr>
        <w:t xml:space="preserve"> and </w:t>
      </w:r>
      <w:proofErr w:type="spellStart"/>
      <w:r w:rsidRPr="002753CD">
        <w:rPr>
          <w:rFonts w:ascii="Times" w:hAnsi="Times" w:cs="Times"/>
          <w:sz w:val="20"/>
          <w:szCs w:val="20"/>
        </w:rPr>
        <w:t>Neuroethics</w:t>
      </w:r>
      <w:proofErr w:type="spellEnd"/>
      <w:r w:rsidRPr="002753CD">
        <w:rPr>
          <w:rFonts w:ascii="Times" w:hAnsi="Times" w:cs="Times"/>
          <w:sz w:val="20"/>
          <w:szCs w:val="20"/>
        </w:rPr>
        <w:t xml:space="preserve"> groups.  We need to have our cases heard and action taken.</w:t>
      </w:r>
    </w:p>
    <w:p w14:paraId="624B1608" w14:textId="77777777" w:rsidR="002753CD" w:rsidRPr="002753CD" w:rsidRDefault="002753CD" w:rsidP="002753CD">
      <w:pPr>
        <w:rPr>
          <w:rFonts w:ascii="Times" w:hAnsi="Times" w:cs="Times"/>
          <w:sz w:val="20"/>
          <w:szCs w:val="20"/>
        </w:rPr>
      </w:pPr>
    </w:p>
    <w:p w14:paraId="759918C1" w14:textId="77777777" w:rsidR="002753CD" w:rsidRPr="002753CD" w:rsidRDefault="002753CD" w:rsidP="002753CD">
      <w:pPr>
        <w:rPr>
          <w:rFonts w:ascii="Times" w:hAnsi="Times" w:cs="Times"/>
          <w:sz w:val="20"/>
          <w:szCs w:val="20"/>
        </w:rPr>
      </w:pPr>
      <w:r w:rsidRPr="002753CD">
        <w:rPr>
          <w:rFonts w:ascii="Times" w:hAnsi="Times" w:cs="Times"/>
          <w:sz w:val="20"/>
          <w:szCs w:val="20"/>
        </w:rPr>
        <w:lastRenderedPageBreak/>
        <w:t xml:space="preserve">Consult with military technology and forensic specialists in regard to solving the problem of deployment of weapons on civilians, how to document it for discovery evidence, and advice on prevention and how to root it out.  </w:t>
      </w:r>
    </w:p>
    <w:p w14:paraId="0D579AE1" w14:textId="77777777" w:rsidR="002753CD" w:rsidRPr="002753CD" w:rsidRDefault="002753CD" w:rsidP="002753CD">
      <w:pPr>
        <w:rPr>
          <w:rFonts w:ascii="Times" w:hAnsi="Times" w:cs="Times"/>
          <w:sz w:val="20"/>
          <w:szCs w:val="20"/>
        </w:rPr>
      </w:pPr>
    </w:p>
    <w:p w14:paraId="74DD5977" w14:textId="77777777" w:rsidR="002753CD" w:rsidRPr="002753CD" w:rsidRDefault="002753CD" w:rsidP="002753CD">
      <w:pPr>
        <w:rPr>
          <w:rFonts w:ascii="Times" w:hAnsi="Times" w:cs="Times"/>
          <w:sz w:val="20"/>
          <w:szCs w:val="20"/>
        </w:rPr>
      </w:pPr>
      <w:r w:rsidRPr="002753CD">
        <w:rPr>
          <w:rFonts w:ascii="Times" w:hAnsi="Times" w:cs="Times"/>
          <w:sz w:val="20"/>
          <w:szCs w:val="20"/>
        </w:rPr>
        <w:t>The medical establishment, the mental health establishment, the intelligence community, the military, and federal, state and local law enforcement all serve as support systems to the abuse of wireless technology.  We need liaisons to network with these entities, to investigate incidents of complicity in the causation of illness and to establish policies and protocols to get these entities on board with solutions.</w:t>
      </w:r>
    </w:p>
    <w:p w14:paraId="6ABE1F1E" w14:textId="77777777" w:rsidR="002753CD" w:rsidRPr="002753CD" w:rsidRDefault="002753CD" w:rsidP="002753CD">
      <w:pPr>
        <w:rPr>
          <w:rFonts w:ascii="Times" w:hAnsi="Times" w:cs="Times"/>
          <w:sz w:val="20"/>
          <w:szCs w:val="20"/>
        </w:rPr>
      </w:pPr>
    </w:p>
    <w:p w14:paraId="1ABCA987" w14:textId="77777777" w:rsidR="002753CD" w:rsidRPr="002753CD" w:rsidRDefault="002753CD" w:rsidP="002753CD">
      <w:pPr>
        <w:rPr>
          <w:rFonts w:ascii="Times" w:hAnsi="Times" w:cs="Times"/>
          <w:sz w:val="20"/>
          <w:szCs w:val="20"/>
        </w:rPr>
      </w:pPr>
      <w:r w:rsidRPr="002753CD">
        <w:rPr>
          <w:rFonts w:ascii="Times" w:hAnsi="Times" w:cs="Times"/>
          <w:sz w:val="20"/>
          <w:szCs w:val="20"/>
        </w:rPr>
        <w:t>Construct a survey of targeted individuals experiencing the intentional abuse of wireless technologies to establish the facts.  Seek the help of the world’s top crypto-mathematician, the former technical director of the NSA, William Binney, himself a targeted individual who has knowledge of the world’s most sophisticated system of analysis used in the NSA to identify threats to our national security.  He is capable of designing a survey that would mathematically and irrefutably prove the facts of our targeting and the complicity of the entities involved in the perpetration of these crimes.  Binney, along with his NSA partner, senior analyst Kirk Wiebe, once attempted to do this but it was not followed through.</w:t>
      </w:r>
    </w:p>
    <w:p w14:paraId="52C05B89" w14:textId="77777777" w:rsidR="002753CD" w:rsidRPr="002753CD" w:rsidRDefault="002753CD" w:rsidP="002753CD">
      <w:pPr>
        <w:rPr>
          <w:rFonts w:ascii="Times" w:hAnsi="Times" w:cs="Times"/>
          <w:sz w:val="20"/>
          <w:szCs w:val="20"/>
        </w:rPr>
      </w:pPr>
    </w:p>
    <w:p w14:paraId="38847927" w14:textId="77777777" w:rsidR="002753CD" w:rsidRPr="002753CD" w:rsidRDefault="002753CD" w:rsidP="002753CD">
      <w:pPr>
        <w:rPr>
          <w:rFonts w:ascii="Times" w:hAnsi="Times" w:cs="Times"/>
          <w:sz w:val="20"/>
          <w:szCs w:val="20"/>
        </w:rPr>
      </w:pPr>
      <w:r w:rsidRPr="002753CD">
        <w:rPr>
          <w:rFonts w:ascii="Times" w:hAnsi="Times" w:cs="Times"/>
          <w:sz w:val="20"/>
          <w:szCs w:val="20"/>
        </w:rPr>
        <w:t>Websites designed to convince the public that targeting doesn’t exist proliferate and usually portray the targeted individuals as mentally ill.  Websites that tell the truth often have altered algorithms that suppress them and make them hard to find.  Here are some genuine websites for and by targeted individuals that may be helpful:</w:t>
      </w:r>
    </w:p>
    <w:p w14:paraId="4D28939A" w14:textId="77777777" w:rsidR="002753CD" w:rsidRPr="002753CD" w:rsidRDefault="002753CD" w:rsidP="002753CD">
      <w:pPr>
        <w:rPr>
          <w:rFonts w:ascii="Times" w:hAnsi="Times" w:cs="Times"/>
          <w:sz w:val="20"/>
          <w:szCs w:val="20"/>
        </w:rPr>
      </w:pPr>
    </w:p>
    <w:p w14:paraId="28B34AE5"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https://tievents.org - This website lists dozens of daily conference calls, sometimes with special guest speakers.  It is a good resource for understanding the community and to ask questions or just listen.  </w:t>
      </w:r>
    </w:p>
    <w:p w14:paraId="014D05C4"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https://icator.be  </w:t>
      </w:r>
    </w:p>
    <w:p w14:paraId="02E2EA20" w14:textId="77777777" w:rsidR="002753CD" w:rsidRPr="002753CD" w:rsidRDefault="002753CD" w:rsidP="002753CD">
      <w:pPr>
        <w:rPr>
          <w:rFonts w:ascii="Times" w:hAnsi="Times" w:cs="Times"/>
          <w:sz w:val="20"/>
          <w:szCs w:val="20"/>
        </w:rPr>
      </w:pPr>
      <w:r w:rsidRPr="002753CD">
        <w:rPr>
          <w:rFonts w:ascii="Times" w:hAnsi="Times" w:cs="Times"/>
          <w:sz w:val="20"/>
          <w:szCs w:val="20"/>
        </w:rPr>
        <w:t>https://pactsntl.org</w:t>
      </w:r>
    </w:p>
    <w:p w14:paraId="563C90C3" w14:textId="77777777" w:rsidR="002753CD" w:rsidRPr="002753CD" w:rsidRDefault="002753CD" w:rsidP="002753CD">
      <w:pPr>
        <w:rPr>
          <w:rFonts w:ascii="Times" w:hAnsi="Times" w:cs="Times"/>
          <w:sz w:val="20"/>
          <w:szCs w:val="20"/>
        </w:rPr>
      </w:pPr>
      <w:r w:rsidRPr="002753CD">
        <w:rPr>
          <w:rFonts w:ascii="Times" w:hAnsi="Times" w:cs="Times"/>
          <w:sz w:val="20"/>
          <w:szCs w:val="20"/>
        </w:rPr>
        <w:t>https://targetedjustice.org</w:t>
      </w:r>
    </w:p>
    <w:p w14:paraId="6C8A6496" w14:textId="77777777" w:rsidR="002753CD" w:rsidRPr="002753CD" w:rsidRDefault="002753CD" w:rsidP="002753CD">
      <w:pPr>
        <w:rPr>
          <w:rFonts w:ascii="Times" w:hAnsi="Times" w:cs="Times"/>
          <w:sz w:val="20"/>
          <w:szCs w:val="20"/>
        </w:rPr>
      </w:pPr>
      <w:r w:rsidRPr="002753CD">
        <w:rPr>
          <w:rFonts w:ascii="Times" w:hAnsi="Times" w:cs="Times"/>
          <w:sz w:val="20"/>
          <w:szCs w:val="20"/>
        </w:rPr>
        <w:t>https://mindjustice.org</w:t>
      </w:r>
    </w:p>
    <w:p w14:paraId="1441B49F" w14:textId="77777777" w:rsidR="002753CD" w:rsidRPr="002753CD" w:rsidRDefault="002753CD" w:rsidP="002753CD">
      <w:pPr>
        <w:rPr>
          <w:rFonts w:ascii="Times" w:hAnsi="Times" w:cs="Times"/>
          <w:sz w:val="20"/>
          <w:szCs w:val="20"/>
        </w:rPr>
      </w:pPr>
      <w:r w:rsidRPr="002753CD">
        <w:rPr>
          <w:rFonts w:ascii="Times" w:hAnsi="Times" w:cs="Times"/>
          <w:sz w:val="20"/>
          <w:szCs w:val="20"/>
        </w:rPr>
        <w:t>https://gangstalkingmindcontrolcults.com</w:t>
      </w:r>
    </w:p>
    <w:p w14:paraId="37BB016B" w14:textId="77777777" w:rsidR="002753CD" w:rsidRPr="002753CD" w:rsidRDefault="002753CD" w:rsidP="002753CD">
      <w:pPr>
        <w:rPr>
          <w:rFonts w:ascii="Times" w:hAnsi="Times" w:cs="Times"/>
          <w:sz w:val="20"/>
          <w:szCs w:val="20"/>
        </w:rPr>
      </w:pPr>
      <w:r w:rsidRPr="002753CD">
        <w:rPr>
          <w:rFonts w:ascii="Times" w:hAnsi="Times" w:cs="Times"/>
          <w:sz w:val="20"/>
          <w:szCs w:val="20"/>
        </w:rPr>
        <w:t>https://tihelpnow.com - the website of former police chief Daymond Jones, who gives expert testimony in courtrooms all over the country.  He is also an ordained pastor.  Chief Jones is sometimes too busy to come on and his co-host moderates the calls.</w:t>
      </w:r>
    </w:p>
    <w:p w14:paraId="1C322E8E"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https://everydayconcerned.net - a news site that frequently has relevant articles and expert interviews </w:t>
      </w:r>
    </w:p>
    <w:p w14:paraId="4C30B867" w14:textId="77777777" w:rsidR="002753CD" w:rsidRPr="002753CD" w:rsidRDefault="002753CD" w:rsidP="002753CD">
      <w:pPr>
        <w:rPr>
          <w:rFonts w:ascii="Times" w:hAnsi="Times" w:cs="Times"/>
          <w:sz w:val="20"/>
          <w:szCs w:val="20"/>
        </w:rPr>
      </w:pPr>
      <w:r w:rsidRPr="002753CD">
        <w:rPr>
          <w:rFonts w:ascii="Times" w:hAnsi="Times" w:cs="Times"/>
          <w:sz w:val="20"/>
          <w:szCs w:val="20"/>
        </w:rPr>
        <w:t>https://targetedevidence.com</w:t>
      </w:r>
    </w:p>
    <w:p w14:paraId="041F37D0" w14:textId="77777777" w:rsidR="002753CD" w:rsidRPr="002753CD" w:rsidRDefault="002753CD" w:rsidP="002753CD">
      <w:pPr>
        <w:rPr>
          <w:rFonts w:ascii="Times" w:hAnsi="Times" w:cs="Times"/>
          <w:sz w:val="20"/>
          <w:szCs w:val="20"/>
        </w:rPr>
      </w:pPr>
      <w:r w:rsidRPr="002753CD">
        <w:rPr>
          <w:rFonts w:ascii="Times" w:hAnsi="Times" w:cs="Times"/>
          <w:sz w:val="20"/>
          <w:szCs w:val="20"/>
        </w:rPr>
        <w:t>https://surveillanceissues.com</w:t>
      </w:r>
    </w:p>
    <w:p w14:paraId="3CACEBB9" w14:textId="77777777" w:rsidR="002753CD" w:rsidRPr="002753CD" w:rsidRDefault="002753CD" w:rsidP="002753CD">
      <w:pPr>
        <w:rPr>
          <w:rFonts w:ascii="Times" w:hAnsi="Times" w:cs="Times"/>
          <w:sz w:val="20"/>
          <w:szCs w:val="20"/>
        </w:rPr>
      </w:pPr>
      <w:r w:rsidRPr="002753CD">
        <w:rPr>
          <w:rFonts w:ascii="Times" w:hAnsi="Times" w:cs="Times"/>
          <w:sz w:val="20"/>
          <w:szCs w:val="20"/>
        </w:rPr>
        <w:t>https://thedewdropin.net</w:t>
      </w:r>
    </w:p>
    <w:p w14:paraId="50DBE4C8" w14:textId="77777777" w:rsidR="002753CD" w:rsidRPr="002753CD" w:rsidRDefault="002753CD" w:rsidP="002753CD">
      <w:pPr>
        <w:rPr>
          <w:rFonts w:ascii="Times" w:hAnsi="Times" w:cs="Times"/>
          <w:sz w:val="20"/>
          <w:szCs w:val="20"/>
        </w:rPr>
      </w:pPr>
      <w:r w:rsidRPr="002753CD">
        <w:rPr>
          <w:rFonts w:ascii="Times" w:hAnsi="Times" w:cs="Times"/>
          <w:sz w:val="20"/>
          <w:szCs w:val="20"/>
        </w:rPr>
        <w:t>https://us-government-torture.com</w:t>
      </w:r>
    </w:p>
    <w:p w14:paraId="1EE4BEED" w14:textId="77777777" w:rsidR="002753CD" w:rsidRPr="002753CD" w:rsidRDefault="002753CD" w:rsidP="002753CD">
      <w:pPr>
        <w:rPr>
          <w:rFonts w:ascii="Times" w:hAnsi="Times" w:cs="Times"/>
          <w:sz w:val="20"/>
          <w:szCs w:val="20"/>
        </w:rPr>
      </w:pPr>
      <w:r w:rsidRPr="002753CD">
        <w:rPr>
          <w:rFonts w:ascii="Times" w:hAnsi="Times" w:cs="Times"/>
          <w:sz w:val="20"/>
          <w:szCs w:val="20"/>
        </w:rPr>
        <w:t>https://citizensaht.org</w:t>
      </w:r>
    </w:p>
    <w:p w14:paraId="487D3DA6" w14:textId="77777777" w:rsidR="002753CD" w:rsidRPr="002753CD" w:rsidRDefault="002753CD" w:rsidP="002753CD">
      <w:pPr>
        <w:rPr>
          <w:rFonts w:ascii="Times" w:hAnsi="Times" w:cs="Times"/>
          <w:sz w:val="20"/>
          <w:szCs w:val="20"/>
        </w:rPr>
      </w:pPr>
    </w:p>
    <w:p w14:paraId="07B2E1F3"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mental health sector needs to be educated about targeted individuals and reformed of the Soviet-style practice of hospitalizations of dissidents, activists, whistleblowers and ideological or political enemies.  The practice of involuntary commitment of targeted individuals in the United States is universal and employed much more often than bringing false accusations to send a targeted person to prison.  Imprisonment in a psychiatric ward requires no evidence and the corrupted psychiatrist-perpetrator serves as the prison guard who gives his opinion that the person is not well—and the diagnosis based on any opinion he wants to dream up is not a provable, measurable and reproducible diagnosis, as it is in the other areas of medicine, like, say, heart disease.  The imprisonment has been known in some cases to continue for years, but in most cases a discharge is granted only by forcing the “patient” to “agree” with the diagnosis and change his status to “voluntary commitment,” often being forced to take medication as well.  I have heard a wide variety of horror stories about what targeted patients are subjected to during their inpatient “treatment.”  Involuntary commitments are supposed to meet the standard of a person issuing a threat of suicide or homicide.  We need to return to that standard and enforce the law when it is violated. </w:t>
      </w:r>
    </w:p>
    <w:p w14:paraId="7492D62E" w14:textId="77777777" w:rsidR="002753CD" w:rsidRPr="002753CD" w:rsidRDefault="002753CD" w:rsidP="002753CD">
      <w:pPr>
        <w:rPr>
          <w:rFonts w:ascii="Times" w:hAnsi="Times" w:cs="Times"/>
          <w:sz w:val="20"/>
          <w:szCs w:val="20"/>
        </w:rPr>
      </w:pPr>
    </w:p>
    <w:p w14:paraId="402F97AD"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incarceration of </w:t>
      </w:r>
      <w:proofErr w:type="gramStart"/>
      <w:r w:rsidRPr="002753CD">
        <w:rPr>
          <w:rFonts w:ascii="Times" w:hAnsi="Times" w:cs="Times"/>
          <w:sz w:val="20"/>
          <w:szCs w:val="20"/>
        </w:rPr>
        <w:t>free thinking</w:t>
      </w:r>
      <w:proofErr w:type="gramEnd"/>
      <w:r w:rsidRPr="002753CD">
        <w:rPr>
          <w:rFonts w:ascii="Times" w:hAnsi="Times" w:cs="Times"/>
          <w:sz w:val="20"/>
          <w:szCs w:val="20"/>
        </w:rPr>
        <w:t xml:space="preserve"> healthy people in madhouses is spiritual murder, it is a variation of the gas chamber, even more cruel; the torture of the people being killed is more malicious and more prolonged.  Like the gas chamber, these crimes will never be forgotten and those involved in them will be condemned for all time during and after their death.”</w:t>
      </w:r>
    </w:p>
    <w:p w14:paraId="7CDA9026" w14:textId="77777777" w:rsidR="002753CD" w:rsidRPr="002753CD" w:rsidRDefault="002753CD" w:rsidP="002753CD">
      <w:pPr>
        <w:rPr>
          <w:rFonts w:ascii="Times" w:hAnsi="Times" w:cs="Times"/>
          <w:sz w:val="20"/>
          <w:szCs w:val="20"/>
        </w:rPr>
      </w:pPr>
    </w:p>
    <w:p w14:paraId="1486E072" w14:textId="77A67942" w:rsidR="002753CD" w:rsidRPr="002753CD" w:rsidRDefault="002753CD" w:rsidP="002753CD">
      <w:pPr>
        <w:rPr>
          <w:rFonts w:ascii="Times" w:hAnsi="Times" w:cs="Times"/>
          <w:sz w:val="20"/>
          <w:szCs w:val="20"/>
        </w:rPr>
      </w:pPr>
      <w:r w:rsidRPr="002753CD">
        <w:rPr>
          <w:rFonts w:ascii="Times" w:hAnsi="Times" w:cs="Times"/>
          <w:sz w:val="20"/>
          <w:szCs w:val="20"/>
        </w:rPr>
        <w:t xml:space="preserve">                                        - Alexander Solzhenitsyn</w:t>
      </w:r>
    </w:p>
    <w:p w14:paraId="155D3076" w14:textId="77777777" w:rsidR="002753CD" w:rsidRPr="002753CD" w:rsidRDefault="002753CD" w:rsidP="002753CD">
      <w:pPr>
        <w:rPr>
          <w:rFonts w:ascii="Times" w:hAnsi="Times" w:cs="Times"/>
          <w:sz w:val="20"/>
          <w:szCs w:val="20"/>
        </w:rPr>
      </w:pPr>
    </w:p>
    <w:p w14:paraId="3318D770" w14:textId="77777777" w:rsidR="002753CD" w:rsidRPr="002753CD" w:rsidRDefault="002753CD" w:rsidP="002753CD">
      <w:pPr>
        <w:rPr>
          <w:rFonts w:ascii="Times" w:hAnsi="Times" w:cs="Times"/>
          <w:sz w:val="20"/>
          <w:szCs w:val="20"/>
        </w:rPr>
      </w:pPr>
    </w:p>
    <w:p w14:paraId="5B0DC2D8" w14:textId="77777777" w:rsidR="002753CD" w:rsidRPr="002753CD" w:rsidRDefault="002753CD" w:rsidP="002753CD">
      <w:pPr>
        <w:rPr>
          <w:rFonts w:ascii="Times" w:hAnsi="Times" w:cs="Times"/>
          <w:sz w:val="20"/>
          <w:szCs w:val="20"/>
        </w:rPr>
      </w:pPr>
    </w:p>
    <w:p w14:paraId="39F8CC89" w14:textId="77777777" w:rsidR="002753CD" w:rsidRPr="002753CD" w:rsidRDefault="002753CD" w:rsidP="002753CD">
      <w:pPr>
        <w:rPr>
          <w:rFonts w:ascii="Times" w:hAnsi="Times" w:cs="Times"/>
          <w:b/>
          <w:bCs/>
        </w:rPr>
      </w:pPr>
      <w:proofErr w:type="spellStart"/>
      <w:r w:rsidRPr="002753CD">
        <w:rPr>
          <w:rFonts w:ascii="Times" w:hAnsi="Times" w:cs="Times"/>
          <w:b/>
          <w:bCs/>
        </w:rPr>
        <w:t>Bulletpoint</w:t>
      </w:r>
      <w:proofErr w:type="spellEnd"/>
      <w:r w:rsidRPr="002753CD">
        <w:rPr>
          <w:rFonts w:ascii="Times" w:hAnsi="Times" w:cs="Times"/>
          <w:b/>
          <w:bCs/>
        </w:rPr>
        <w:t xml:space="preserve"> action items—networking with non-medical sectors</w:t>
      </w:r>
    </w:p>
    <w:p w14:paraId="18CB651C" w14:textId="77777777" w:rsidR="002753CD" w:rsidRPr="002753CD" w:rsidRDefault="002753CD" w:rsidP="002753CD">
      <w:pPr>
        <w:rPr>
          <w:rFonts w:ascii="Times" w:hAnsi="Times" w:cs="Times"/>
          <w:sz w:val="20"/>
          <w:szCs w:val="20"/>
        </w:rPr>
      </w:pPr>
    </w:p>
    <w:p w14:paraId="4DF2A5A2"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People who sit on the House Intelligence Committee are given the security clearance needed to review all records of our targeting and investigate.  They are in the best position to help us.  But a </w:t>
      </w:r>
      <w:proofErr w:type="gramStart"/>
      <w:r w:rsidRPr="002753CD">
        <w:rPr>
          <w:rFonts w:ascii="Times" w:hAnsi="Times" w:cs="Times"/>
          <w:sz w:val="20"/>
          <w:szCs w:val="20"/>
        </w:rPr>
        <w:t>Committee</w:t>
      </w:r>
      <w:proofErr w:type="gramEnd"/>
      <w:r w:rsidRPr="002753CD">
        <w:rPr>
          <w:rFonts w:ascii="Times" w:hAnsi="Times" w:cs="Times"/>
          <w:sz w:val="20"/>
          <w:szCs w:val="20"/>
        </w:rPr>
        <w:t xml:space="preserve"> member told CIA whistleblower Kevin Shipp that the crimes perpetrated by the intelligence agencies will not be investigated, and they are not allowed to ask too many questions or they lose their security clearance and get thrown off the Committee!  This is obviously because an investigation would uncover material evidence of our targeting and bring about swift indictments.  This situation needs to be rectified and a full investigation must proceed so the targeting may end.</w:t>
      </w:r>
    </w:p>
    <w:p w14:paraId="70C9161C" w14:textId="77777777" w:rsidR="002753CD" w:rsidRPr="002753CD" w:rsidRDefault="002753CD" w:rsidP="002753CD">
      <w:pPr>
        <w:rPr>
          <w:rFonts w:ascii="Times" w:hAnsi="Times" w:cs="Times"/>
          <w:sz w:val="20"/>
          <w:szCs w:val="20"/>
        </w:rPr>
      </w:pPr>
    </w:p>
    <w:p w14:paraId="6D621D57"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We must establish a legal process for getting our names cleared from the FBI’s terrorist screening data set (TSDS) and the FISA court.  The 3 and 4 tier codes on the TSDS watchlist, referring to “non-investigative subjects” need to be removed.  They call us “suspected terrorists” but they don’t have any desire to investigate us?  Really?  Documentary filmmaker Aaron Russo revealed that Code 3 refers to individuals who are unaware that they are being targeted—comprising 22% of the watchlist—and Code 4 refers to the 75% of targeted individuals who are aware that they are being targeted.  (The remaining 3% are unaccounted for.)  According to Russo, the “non-investigative subjects” category comprises 97.1% of the TSDS database—roughly 70 million Americans—whereas the real </w:t>
      </w:r>
      <w:r w:rsidRPr="002753CD">
        <w:rPr>
          <w:rFonts w:ascii="Times" w:hAnsi="Times" w:cs="Times"/>
          <w:sz w:val="20"/>
          <w:szCs w:val="20"/>
        </w:rPr>
        <w:lastRenderedPageBreak/>
        <w:t>suspected “no fly” terrorists comprise only 2.9%!  According to William Binney, the FISA court approves our status as suspects after our emails are surreptitiously routed through foreign countries to establish a foreign connection.</w:t>
      </w:r>
    </w:p>
    <w:p w14:paraId="680C8578" w14:textId="77777777" w:rsidR="002753CD" w:rsidRPr="002753CD" w:rsidRDefault="002753CD" w:rsidP="002753CD">
      <w:pPr>
        <w:rPr>
          <w:rFonts w:ascii="Times" w:hAnsi="Times" w:cs="Times"/>
          <w:sz w:val="20"/>
          <w:szCs w:val="20"/>
        </w:rPr>
      </w:pPr>
    </w:p>
    <w:p w14:paraId="436937F7"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William Binney has noted that bulk data collection has generated massive contracts for corporations, while rejecting his much smaller data collection program that proved to be much more effective in pinpointing only the real suspected terrorists, while preserving the privacy and anonymity of those having no ties to terrorism.  He feels this is driven by financial incentives as a gravy train for contractors and executives.  He is quoted as portraying the NSA’s vision statement as “Keep the problem going so the money keeps flowing.”  In other words, putting millions of innocent Americans in a terrorist database is big business.  </w:t>
      </w:r>
    </w:p>
    <w:p w14:paraId="3694E3BC" w14:textId="77777777" w:rsidR="002753CD" w:rsidRPr="002753CD" w:rsidRDefault="002753CD" w:rsidP="002753CD">
      <w:pPr>
        <w:rPr>
          <w:rFonts w:ascii="Times" w:hAnsi="Times" w:cs="Times"/>
          <w:sz w:val="20"/>
          <w:szCs w:val="20"/>
        </w:rPr>
      </w:pPr>
      <w:r w:rsidRPr="002753CD">
        <w:rPr>
          <w:rFonts w:ascii="Times" w:hAnsi="Times" w:cs="Times"/>
          <w:sz w:val="20"/>
          <w:szCs w:val="20"/>
        </w:rPr>
        <w:t>This must be investigated and defunded.</w:t>
      </w:r>
    </w:p>
    <w:p w14:paraId="08F17772" w14:textId="77777777" w:rsidR="002753CD" w:rsidRPr="002753CD" w:rsidRDefault="002753CD" w:rsidP="002753CD">
      <w:pPr>
        <w:rPr>
          <w:rFonts w:ascii="Times" w:hAnsi="Times" w:cs="Times"/>
          <w:sz w:val="20"/>
          <w:szCs w:val="20"/>
        </w:rPr>
      </w:pPr>
    </w:p>
    <w:p w14:paraId="32800337" w14:textId="77777777" w:rsidR="002753CD" w:rsidRPr="002753CD" w:rsidRDefault="002753CD" w:rsidP="002753CD">
      <w:pPr>
        <w:rPr>
          <w:rFonts w:ascii="Times" w:hAnsi="Times" w:cs="Times"/>
          <w:sz w:val="20"/>
          <w:szCs w:val="20"/>
        </w:rPr>
      </w:pPr>
      <w:r w:rsidRPr="002753CD">
        <w:rPr>
          <w:rFonts w:ascii="Times" w:hAnsi="Times" w:cs="Times"/>
          <w:sz w:val="20"/>
          <w:szCs w:val="20"/>
        </w:rPr>
        <w:t>Jim Jordan, Chairman of the Select Subcommittee on the Weaponization of Government, helped Tulsi Gabbard get off the terrorist watchlist.  This should happen for the rest of us.</w:t>
      </w:r>
    </w:p>
    <w:p w14:paraId="740834A9" w14:textId="77777777" w:rsidR="002753CD" w:rsidRPr="002753CD" w:rsidRDefault="002753CD" w:rsidP="002753CD">
      <w:pPr>
        <w:rPr>
          <w:rFonts w:ascii="Times" w:hAnsi="Times" w:cs="Times"/>
          <w:sz w:val="20"/>
          <w:szCs w:val="20"/>
        </w:rPr>
      </w:pPr>
    </w:p>
    <w:p w14:paraId="79D935DF" w14:textId="77777777" w:rsidR="002753CD" w:rsidRPr="002753CD" w:rsidRDefault="002753CD" w:rsidP="002753CD">
      <w:pPr>
        <w:rPr>
          <w:rFonts w:ascii="Times" w:hAnsi="Times" w:cs="Times"/>
          <w:sz w:val="20"/>
          <w:szCs w:val="20"/>
        </w:rPr>
      </w:pPr>
      <w:r w:rsidRPr="002753CD">
        <w:rPr>
          <w:rFonts w:ascii="Times" w:hAnsi="Times" w:cs="Times"/>
          <w:sz w:val="20"/>
          <w:szCs w:val="20"/>
        </w:rPr>
        <w:t>Rand Paul obtained documents regarding how a constituent was cast into the targeting problem.  This should happen for the rest of us, too.</w:t>
      </w:r>
    </w:p>
    <w:p w14:paraId="1CF49D3B" w14:textId="77777777" w:rsidR="002753CD" w:rsidRPr="002753CD" w:rsidRDefault="002753CD" w:rsidP="002753CD">
      <w:pPr>
        <w:rPr>
          <w:rFonts w:ascii="Times" w:hAnsi="Times" w:cs="Times"/>
          <w:sz w:val="20"/>
          <w:szCs w:val="20"/>
        </w:rPr>
      </w:pPr>
    </w:p>
    <w:p w14:paraId="6F40A597" w14:textId="77777777" w:rsidR="002753CD" w:rsidRPr="002753CD" w:rsidRDefault="002753CD" w:rsidP="002753CD">
      <w:pPr>
        <w:rPr>
          <w:rFonts w:ascii="Times" w:hAnsi="Times" w:cs="Times"/>
          <w:sz w:val="20"/>
          <w:szCs w:val="20"/>
        </w:rPr>
      </w:pPr>
      <w:r w:rsidRPr="002753CD">
        <w:rPr>
          <w:rFonts w:ascii="Times" w:hAnsi="Times" w:cs="Times"/>
          <w:sz w:val="20"/>
          <w:szCs w:val="20"/>
        </w:rPr>
        <w:t>The targeting operations are performed under a false guise of “national security.”  The information is classified to keep their crimes against us secret.  William Binney says we need to declassify all classified information violating section 1.7 of Executive Order 13526, titled, “Classification Prohibitions and Limitations,” which states that information cannot be classified to conceal violations of the law or to prevent information not related to national security from being released.</w:t>
      </w:r>
    </w:p>
    <w:p w14:paraId="1E1D84CC" w14:textId="77777777" w:rsidR="002753CD" w:rsidRPr="002753CD" w:rsidRDefault="002753CD" w:rsidP="002753CD">
      <w:pPr>
        <w:rPr>
          <w:rFonts w:ascii="Times" w:hAnsi="Times" w:cs="Times"/>
          <w:sz w:val="20"/>
          <w:szCs w:val="20"/>
        </w:rPr>
      </w:pPr>
    </w:p>
    <w:p w14:paraId="6D7C5229"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Due Process Guarantee Act (S.1216 and S.2718) that had been introduced by Sen. Mike Lee (R-UT) and Sen. Dianne Feinstein (D-CA) respectively, aimed to prohibit the indefinite detention of U.S. citizens or lawful permanent residents in the United States without explicit congressional authorization.  They were referred to committee but did not become law.  This needs to be reintroduced and become law.  </w:t>
      </w:r>
    </w:p>
    <w:p w14:paraId="5568D6BF" w14:textId="77777777" w:rsidR="002753CD" w:rsidRPr="002753CD" w:rsidRDefault="002753CD" w:rsidP="002753CD">
      <w:pPr>
        <w:rPr>
          <w:rFonts w:ascii="Times" w:hAnsi="Times" w:cs="Times"/>
          <w:sz w:val="20"/>
          <w:szCs w:val="20"/>
        </w:rPr>
      </w:pPr>
      <w:r w:rsidRPr="002753CD">
        <w:rPr>
          <w:rFonts w:ascii="Times" w:hAnsi="Times" w:cs="Times"/>
          <w:sz w:val="20"/>
          <w:szCs w:val="20"/>
        </w:rPr>
        <w:t>The people in our lives are forbidden from disclosing the national security letters they received about us, intended for targeting operations.  Someone with the security clearance to investigate the gag orders could get depositions from landlords, neighbors, doctors, police, family members, etc., which would reveal who contacted them, and then the task would be to discover who was above that person, and the next person, to point the way up the pyramid to those responsible at the top who should be removed from office and indicted.</w:t>
      </w:r>
    </w:p>
    <w:p w14:paraId="32032DF0" w14:textId="77777777" w:rsidR="002753CD" w:rsidRPr="002753CD" w:rsidRDefault="002753CD" w:rsidP="002753CD">
      <w:pPr>
        <w:rPr>
          <w:rFonts w:ascii="Times" w:hAnsi="Times" w:cs="Times"/>
          <w:sz w:val="20"/>
          <w:szCs w:val="20"/>
        </w:rPr>
      </w:pPr>
    </w:p>
    <w:p w14:paraId="3F060DC7"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same should happen with DHS-run fusion centers used to </w:t>
      </w:r>
      <w:proofErr w:type="spellStart"/>
      <w:r w:rsidRPr="002753CD">
        <w:rPr>
          <w:rFonts w:ascii="Times" w:hAnsi="Times" w:cs="Times"/>
          <w:sz w:val="20"/>
          <w:szCs w:val="20"/>
        </w:rPr>
        <w:t>traffick</w:t>
      </w:r>
      <w:proofErr w:type="spellEnd"/>
      <w:r w:rsidRPr="002753CD">
        <w:rPr>
          <w:rFonts w:ascii="Times" w:hAnsi="Times" w:cs="Times"/>
          <w:sz w:val="20"/>
          <w:szCs w:val="20"/>
        </w:rPr>
        <w:t xml:space="preserve"> us, as well as the FISA courts, who wrongly establish our criminal associations with foreign countries where there are none.</w:t>
      </w:r>
    </w:p>
    <w:p w14:paraId="664B70F8" w14:textId="77777777" w:rsidR="002753CD" w:rsidRPr="002753CD" w:rsidRDefault="002753CD" w:rsidP="002753CD">
      <w:pPr>
        <w:rPr>
          <w:rFonts w:ascii="Times" w:hAnsi="Times" w:cs="Times"/>
          <w:sz w:val="20"/>
          <w:szCs w:val="20"/>
        </w:rPr>
      </w:pPr>
    </w:p>
    <w:p w14:paraId="7739C696"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FBI’s deep state counterintelligence program, aka COINTELPRO, must be rooted out and ended.  Their stated purpose, as revealed over fifty years ago by the Senator Frank Church Committee, is to frame, to murder, to set up, to imprison, and to neutralize political activists, those who want to bring about justice, and anyone who dissents </w:t>
      </w:r>
      <w:r w:rsidRPr="002753CD">
        <w:rPr>
          <w:rFonts w:ascii="Times" w:hAnsi="Times" w:cs="Times"/>
          <w:sz w:val="20"/>
          <w:szCs w:val="20"/>
        </w:rPr>
        <w:lastRenderedPageBreak/>
        <w:t xml:space="preserve">against the policies of the United Stats Government.  The COINTELPRO Papers: Documents form the FBI’s Secret War Against Dissent in the US, by Ward Churchill and Jam Vander Wall, also states its purpose as being “to disrupt and destabilize, cripple, destroy or otherwise neutralize dissident </w:t>
      </w:r>
      <w:proofErr w:type="spellStart"/>
      <w:r w:rsidRPr="002753CD">
        <w:rPr>
          <w:rFonts w:ascii="Times" w:hAnsi="Times" w:cs="Times"/>
          <w:sz w:val="20"/>
          <w:szCs w:val="20"/>
        </w:rPr>
        <w:t>inividuals</w:t>
      </w:r>
      <w:proofErr w:type="spellEnd"/>
      <w:r w:rsidRPr="002753CD">
        <w:rPr>
          <w:rFonts w:ascii="Times" w:hAnsi="Times" w:cs="Times"/>
          <w:sz w:val="20"/>
          <w:szCs w:val="20"/>
        </w:rPr>
        <w:t xml:space="preserve"> and political groupings in the United States.”  Clearly their purpose has not changed and their crimes have only greatly expanded.</w:t>
      </w:r>
    </w:p>
    <w:p w14:paraId="7E84694A" w14:textId="77777777" w:rsidR="002753CD" w:rsidRPr="002753CD" w:rsidRDefault="002753CD" w:rsidP="002753CD">
      <w:pPr>
        <w:rPr>
          <w:rFonts w:ascii="Times" w:hAnsi="Times" w:cs="Times"/>
          <w:sz w:val="20"/>
          <w:szCs w:val="20"/>
        </w:rPr>
      </w:pPr>
    </w:p>
    <w:p w14:paraId="38C84561" w14:textId="77777777" w:rsidR="002753CD" w:rsidRPr="002753CD" w:rsidRDefault="002753CD" w:rsidP="002753CD">
      <w:pPr>
        <w:rPr>
          <w:rFonts w:ascii="Times" w:hAnsi="Times" w:cs="Times"/>
          <w:sz w:val="20"/>
          <w:szCs w:val="20"/>
        </w:rPr>
      </w:pPr>
      <w:r w:rsidRPr="002753CD">
        <w:rPr>
          <w:rFonts w:ascii="Times" w:hAnsi="Times" w:cs="Times"/>
          <w:sz w:val="20"/>
          <w:szCs w:val="20"/>
        </w:rPr>
        <w:t>We need to address these issues at police and sheriff conferences.  I suggest that the Constitutional Sheriffs and Peace Officers Association take the lead and also educate these groups about their rights and responsibilities under the Constitution, including when dealing with illegal and unconstitutional actions and directives coming from the federal level.  Former police chief Daymond Jones could be involved in education about dealing with targeted individuals.</w:t>
      </w:r>
    </w:p>
    <w:p w14:paraId="761A59B3" w14:textId="77777777" w:rsidR="002753CD" w:rsidRPr="002753CD" w:rsidRDefault="002753CD" w:rsidP="002753CD">
      <w:pPr>
        <w:rPr>
          <w:rFonts w:ascii="Times" w:hAnsi="Times" w:cs="Times"/>
          <w:sz w:val="20"/>
          <w:szCs w:val="20"/>
        </w:rPr>
      </w:pPr>
    </w:p>
    <w:p w14:paraId="6BF02275" w14:textId="77777777" w:rsidR="002753CD" w:rsidRPr="002753CD" w:rsidRDefault="002753CD" w:rsidP="002753CD">
      <w:pPr>
        <w:rPr>
          <w:rFonts w:ascii="Times" w:hAnsi="Times" w:cs="Times"/>
          <w:sz w:val="20"/>
          <w:szCs w:val="20"/>
        </w:rPr>
      </w:pPr>
      <w:r w:rsidRPr="002753CD">
        <w:rPr>
          <w:rFonts w:ascii="Times" w:hAnsi="Times" w:cs="Times"/>
          <w:sz w:val="20"/>
          <w:szCs w:val="20"/>
        </w:rPr>
        <w:t>We need to be provided with our 6th amendment right to face our accusers.</w:t>
      </w:r>
    </w:p>
    <w:p w14:paraId="7666DB36" w14:textId="77777777" w:rsidR="002753CD" w:rsidRPr="002753CD" w:rsidRDefault="002753CD" w:rsidP="002753CD">
      <w:pPr>
        <w:rPr>
          <w:rFonts w:ascii="Times" w:hAnsi="Times" w:cs="Times"/>
          <w:sz w:val="20"/>
          <w:szCs w:val="20"/>
        </w:rPr>
      </w:pPr>
    </w:p>
    <w:p w14:paraId="62F4986E" w14:textId="77777777" w:rsidR="002753CD" w:rsidRPr="002753CD" w:rsidRDefault="002753CD" w:rsidP="002753CD">
      <w:pPr>
        <w:rPr>
          <w:rFonts w:ascii="Times" w:hAnsi="Times" w:cs="Times"/>
          <w:sz w:val="20"/>
          <w:szCs w:val="20"/>
        </w:rPr>
      </w:pPr>
      <w:r w:rsidRPr="002753CD">
        <w:rPr>
          <w:rFonts w:ascii="Times" w:hAnsi="Times" w:cs="Times"/>
          <w:sz w:val="20"/>
          <w:szCs w:val="20"/>
        </w:rPr>
        <w:t>The FCC has it in their power to investigate the illegal frequencies and power densities being issued in our midst and stop them.  They need to do this for illegal wireless radiation, just as they do with other illegal transmissions.</w:t>
      </w:r>
    </w:p>
    <w:p w14:paraId="5C88B0DD" w14:textId="77777777" w:rsidR="002753CD" w:rsidRPr="002753CD" w:rsidRDefault="002753CD" w:rsidP="002753CD">
      <w:pPr>
        <w:rPr>
          <w:rFonts w:ascii="Times" w:hAnsi="Times" w:cs="Times"/>
          <w:sz w:val="20"/>
          <w:szCs w:val="20"/>
        </w:rPr>
      </w:pPr>
    </w:p>
    <w:p w14:paraId="02F606A0" w14:textId="77777777" w:rsidR="002753CD" w:rsidRPr="002753CD" w:rsidRDefault="002753CD" w:rsidP="002753CD">
      <w:pPr>
        <w:rPr>
          <w:rFonts w:ascii="Times" w:hAnsi="Times" w:cs="Times"/>
          <w:sz w:val="20"/>
          <w:szCs w:val="20"/>
        </w:rPr>
      </w:pPr>
      <w:r w:rsidRPr="002753CD">
        <w:rPr>
          <w:rFonts w:ascii="Times" w:hAnsi="Times" w:cs="Times"/>
          <w:sz w:val="20"/>
          <w:szCs w:val="20"/>
        </w:rPr>
        <w:t>The Judiciary Committee needs to designate special courts for targeted individuals and hotlines to report and monitor criminal activities and to charge perpetrators with capital felonies and establish grand jury proceedings for such as the following:</w:t>
      </w:r>
    </w:p>
    <w:p w14:paraId="3368D0AA" w14:textId="77777777" w:rsidR="002753CD" w:rsidRPr="002753CD" w:rsidRDefault="002753CD" w:rsidP="002753CD">
      <w:pPr>
        <w:rPr>
          <w:rFonts w:ascii="Times" w:hAnsi="Times" w:cs="Times"/>
          <w:sz w:val="20"/>
          <w:szCs w:val="20"/>
        </w:rPr>
      </w:pPr>
    </w:p>
    <w:p w14:paraId="5719C780" w14:textId="77777777" w:rsidR="002753CD" w:rsidRPr="002753CD" w:rsidRDefault="002753CD" w:rsidP="002753CD">
      <w:pPr>
        <w:rPr>
          <w:rFonts w:ascii="Times" w:hAnsi="Times" w:cs="Times"/>
          <w:sz w:val="20"/>
          <w:szCs w:val="20"/>
        </w:rPr>
      </w:pPr>
    </w:p>
    <w:p w14:paraId="13075DC2" w14:textId="77777777" w:rsidR="002753CD" w:rsidRPr="002753CD" w:rsidRDefault="002753CD" w:rsidP="002753CD">
      <w:pPr>
        <w:rPr>
          <w:rFonts w:ascii="Times" w:hAnsi="Times" w:cs="Times"/>
          <w:sz w:val="20"/>
          <w:szCs w:val="20"/>
        </w:rPr>
      </w:pPr>
    </w:p>
    <w:p w14:paraId="1CA4904E" w14:textId="77777777" w:rsidR="002753CD" w:rsidRPr="002753CD" w:rsidRDefault="002753CD" w:rsidP="002753CD">
      <w:pPr>
        <w:rPr>
          <w:rFonts w:ascii="Times" w:hAnsi="Times" w:cs="Times"/>
          <w:sz w:val="20"/>
          <w:szCs w:val="20"/>
        </w:rPr>
      </w:pPr>
    </w:p>
    <w:p w14:paraId="7040B5FB" w14:textId="77777777" w:rsidR="002753CD" w:rsidRPr="002753CD" w:rsidRDefault="002753CD" w:rsidP="002753CD">
      <w:pPr>
        <w:rPr>
          <w:rFonts w:ascii="Times" w:hAnsi="Times" w:cs="Times"/>
          <w:sz w:val="20"/>
          <w:szCs w:val="20"/>
        </w:rPr>
      </w:pPr>
      <w:r w:rsidRPr="002753CD">
        <w:rPr>
          <w:rFonts w:ascii="Times" w:hAnsi="Times" w:cs="Times"/>
          <w:sz w:val="20"/>
          <w:szCs w:val="20"/>
        </w:rPr>
        <w:t>Conspiracy Against Rights</w:t>
      </w:r>
    </w:p>
    <w:p w14:paraId="7D92607B" w14:textId="77777777" w:rsidR="002753CD" w:rsidRPr="002753CD" w:rsidRDefault="002753CD" w:rsidP="002753CD">
      <w:pPr>
        <w:rPr>
          <w:rFonts w:ascii="Times" w:hAnsi="Times" w:cs="Times"/>
          <w:sz w:val="20"/>
          <w:szCs w:val="20"/>
        </w:rPr>
      </w:pPr>
    </w:p>
    <w:p w14:paraId="738C4A16"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Statute 18 U.S.C. § 241 prohibits two or more persons from conspiring to injure, oppress, threaten, or intimidate any person in the free exercise or enjoyment of their civil rights. Unlike treason, this statute does not require an overt act; prosecutors need only prove an agreement and intent between the co-conspirators. It is punishable by a fine or imprisonment of up to 10 years. </w:t>
      </w:r>
    </w:p>
    <w:p w14:paraId="6803347D" w14:textId="77777777" w:rsidR="002753CD" w:rsidRPr="002753CD" w:rsidRDefault="002753CD" w:rsidP="002753CD">
      <w:pPr>
        <w:rPr>
          <w:rFonts w:ascii="Times" w:hAnsi="Times" w:cs="Times"/>
          <w:sz w:val="20"/>
          <w:szCs w:val="20"/>
        </w:rPr>
      </w:pPr>
    </w:p>
    <w:p w14:paraId="5E017B0C" w14:textId="77777777" w:rsidR="002753CD" w:rsidRPr="002753CD" w:rsidRDefault="002753CD" w:rsidP="002753CD">
      <w:pPr>
        <w:rPr>
          <w:rFonts w:ascii="Times" w:hAnsi="Times" w:cs="Times"/>
          <w:sz w:val="20"/>
          <w:szCs w:val="20"/>
        </w:rPr>
      </w:pPr>
    </w:p>
    <w:p w14:paraId="79DA5AD1" w14:textId="77777777" w:rsidR="002753CD" w:rsidRPr="002753CD" w:rsidRDefault="002753CD" w:rsidP="002753CD">
      <w:pPr>
        <w:rPr>
          <w:rFonts w:ascii="Times" w:hAnsi="Times" w:cs="Times"/>
          <w:sz w:val="20"/>
          <w:szCs w:val="20"/>
        </w:rPr>
      </w:pPr>
      <w:r w:rsidRPr="002753CD">
        <w:rPr>
          <w:rFonts w:ascii="Times" w:hAnsi="Times" w:cs="Times"/>
          <w:sz w:val="20"/>
          <w:szCs w:val="20"/>
        </w:rPr>
        <w:t>Deprivation of Rights Under Color of Law</w:t>
      </w:r>
    </w:p>
    <w:p w14:paraId="48DAED80" w14:textId="77777777" w:rsidR="002753CD" w:rsidRPr="002753CD" w:rsidRDefault="002753CD" w:rsidP="002753CD">
      <w:pPr>
        <w:rPr>
          <w:rFonts w:ascii="Times" w:hAnsi="Times" w:cs="Times"/>
          <w:sz w:val="20"/>
          <w:szCs w:val="20"/>
        </w:rPr>
      </w:pPr>
      <w:r w:rsidRPr="002753CD">
        <w:rPr>
          <w:rFonts w:ascii="Times" w:hAnsi="Times" w:cs="Times"/>
          <w:sz w:val="20"/>
          <w:szCs w:val="20"/>
        </w:rPr>
        <w:t>•</w:t>
      </w:r>
      <w:r w:rsidRPr="002753CD">
        <w:rPr>
          <w:rFonts w:ascii="Times" w:hAnsi="Times" w:cs="Times"/>
          <w:sz w:val="20"/>
          <w:szCs w:val="20"/>
        </w:rPr>
        <w:tab/>
        <w:t xml:space="preserve">Statute: 18 U.S. Code § 242 makes it a crime for any person acting under the color of law (including police officers) to willfully deprive a person of rights protected by the Constitution or U.S. laws. </w:t>
      </w:r>
    </w:p>
    <w:p w14:paraId="11D61ECB" w14:textId="77777777" w:rsidR="002753CD" w:rsidRPr="002753CD" w:rsidRDefault="002753CD" w:rsidP="002753CD">
      <w:pPr>
        <w:rPr>
          <w:rFonts w:ascii="Times" w:hAnsi="Times" w:cs="Times"/>
          <w:sz w:val="20"/>
          <w:szCs w:val="20"/>
        </w:rPr>
      </w:pPr>
      <w:r w:rsidRPr="002753CD">
        <w:rPr>
          <w:rFonts w:ascii="Times" w:hAnsi="Times" w:cs="Times"/>
          <w:sz w:val="20"/>
          <w:szCs w:val="20"/>
        </w:rPr>
        <w:t>•</w:t>
      </w:r>
      <w:r w:rsidRPr="002753CD">
        <w:rPr>
          <w:rFonts w:ascii="Times" w:hAnsi="Times" w:cs="Times"/>
          <w:sz w:val="20"/>
          <w:szCs w:val="20"/>
        </w:rPr>
        <w:tab/>
        <w:t xml:space="preserve">Scope: This covers acts done beyond the bounds of an official's lawful authority if they purport to act in their official capacity. </w:t>
      </w:r>
    </w:p>
    <w:p w14:paraId="5E681CAC" w14:textId="77777777" w:rsidR="002753CD" w:rsidRPr="002753CD" w:rsidRDefault="002753CD" w:rsidP="002753CD">
      <w:pPr>
        <w:rPr>
          <w:rFonts w:ascii="Times" w:hAnsi="Times" w:cs="Times"/>
          <w:sz w:val="20"/>
          <w:szCs w:val="20"/>
        </w:rPr>
      </w:pPr>
      <w:r w:rsidRPr="002753CD">
        <w:rPr>
          <w:rFonts w:ascii="Times" w:hAnsi="Times" w:cs="Times"/>
          <w:sz w:val="20"/>
          <w:szCs w:val="20"/>
        </w:rPr>
        <w:lastRenderedPageBreak/>
        <w:t>•</w:t>
      </w:r>
      <w:r w:rsidRPr="002753CD">
        <w:rPr>
          <w:rFonts w:ascii="Times" w:hAnsi="Times" w:cs="Times"/>
          <w:sz w:val="20"/>
          <w:szCs w:val="20"/>
        </w:rPr>
        <w:tab/>
        <w:t xml:space="preserve">Penalties: Punishable by imprisonment up to life term or the death penalty, depending on the circumstances and resulting injury. </w:t>
      </w:r>
    </w:p>
    <w:p w14:paraId="5B20E4E6" w14:textId="77777777" w:rsidR="002753CD" w:rsidRPr="002753CD" w:rsidRDefault="002753CD" w:rsidP="002753CD">
      <w:pPr>
        <w:rPr>
          <w:rFonts w:ascii="Times" w:hAnsi="Times" w:cs="Times"/>
          <w:sz w:val="20"/>
          <w:szCs w:val="20"/>
        </w:rPr>
      </w:pPr>
    </w:p>
    <w:p w14:paraId="17FA3368"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The Racketeer Influenced and Corrupt Organizations (RICO) Act </w:t>
      </w:r>
    </w:p>
    <w:p w14:paraId="7492ED2D"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Statute 18 U.S. Code §§ 1961–1968, enacted in 1970 as part of the Organized Crime Control Act to combat organized crime and white-collar crime by targeting ongoing criminal enterprises, applies to any individual, partnership, corporation, or group associated in fact that conducts illegal activities affecting interstate or foreign commerce. </w:t>
      </w:r>
    </w:p>
    <w:p w14:paraId="43A1D3BB" w14:textId="77777777" w:rsidR="002753CD" w:rsidRPr="002753CD" w:rsidRDefault="002753CD" w:rsidP="002753CD">
      <w:pPr>
        <w:rPr>
          <w:rFonts w:ascii="Times" w:hAnsi="Times" w:cs="Times"/>
          <w:sz w:val="20"/>
          <w:szCs w:val="20"/>
        </w:rPr>
      </w:pPr>
      <w:r w:rsidRPr="002753CD">
        <w:rPr>
          <w:rFonts w:ascii="Times" w:hAnsi="Times" w:cs="Times"/>
          <w:sz w:val="20"/>
          <w:szCs w:val="20"/>
        </w:rPr>
        <w:t xml:space="preserve">To secure a conviction or civil judgment under RICO, prosecutors must prove the existence of an enterprise and a pattern of racketeering activity, defined as committing at least two predicate crimes within a 10-year period. The law identifies 35 specific predicate offenses, including murder, kidnapping, gambling, arson, bribery, extortion, drug trafficking, and various forms of fraud (such as mail and wire fraud). </w:t>
      </w:r>
    </w:p>
    <w:p w14:paraId="3244747E" w14:textId="77777777" w:rsidR="002753CD" w:rsidRPr="002753CD" w:rsidRDefault="002753CD" w:rsidP="002753CD">
      <w:pPr>
        <w:rPr>
          <w:rFonts w:ascii="Times" w:hAnsi="Times" w:cs="Times"/>
          <w:sz w:val="20"/>
          <w:szCs w:val="20"/>
        </w:rPr>
      </w:pPr>
      <w:r w:rsidRPr="002753CD">
        <w:rPr>
          <w:rFonts w:ascii="Times" w:hAnsi="Times" w:cs="Times"/>
          <w:sz w:val="20"/>
          <w:szCs w:val="20"/>
        </w:rPr>
        <w:t>RICO imposes severe penalties and allows for both criminal and civil actions:</w:t>
      </w:r>
    </w:p>
    <w:p w14:paraId="0735CB29" w14:textId="77777777" w:rsidR="002753CD" w:rsidRPr="002753CD" w:rsidRDefault="002753CD" w:rsidP="002753CD">
      <w:pPr>
        <w:rPr>
          <w:rFonts w:ascii="Times" w:hAnsi="Times" w:cs="Times"/>
          <w:sz w:val="20"/>
          <w:szCs w:val="20"/>
        </w:rPr>
      </w:pPr>
      <w:r w:rsidRPr="002753CD">
        <w:rPr>
          <w:rFonts w:ascii="Times" w:hAnsi="Times" w:cs="Times"/>
          <w:sz w:val="20"/>
          <w:szCs w:val="20"/>
        </w:rPr>
        <w:t>•</w:t>
      </w:r>
      <w:r w:rsidRPr="002753CD">
        <w:rPr>
          <w:rFonts w:ascii="Times" w:hAnsi="Times" w:cs="Times"/>
          <w:sz w:val="20"/>
          <w:szCs w:val="20"/>
        </w:rPr>
        <w:tab/>
        <w:t xml:space="preserve">Criminal Penalties: Violators face up to 20 years in prison per count (or life imprisonment if the underlying predicate act carries a life sentence), fines up to $250,000, and mandatory forfeiture of all ill-gotten gains and assets derived from the racketeering activity. </w:t>
      </w:r>
    </w:p>
    <w:p w14:paraId="35BF9F04" w14:textId="77777777" w:rsidR="002753CD" w:rsidRPr="002753CD" w:rsidRDefault="002753CD" w:rsidP="002753CD">
      <w:pPr>
        <w:rPr>
          <w:rFonts w:ascii="Times" w:hAnsi="Times" w:cs="Times"/>
          <w:sz w:val="20"/>
          <w:szCs w:val="20"/>
        </w:rPr>
      </w:pPr>
      <w:r w:rsidRPr="002753CD">
        <w:rPr>
          <w:rFonts w:ascii="Times" w:hAnsi="Times" w:cs="Times"/>
          <w:sz w:val="20"/>
          <w:szCs w:val="20"/>
        </w:rPr>
        <w:t>•</w:t>
      </w:r>
      <w:r w:rsidRPr="002753CD">
        <w:rPr>
          <w:rFonts w:ascii="Times" w:hAnsi="Times" w:cs="Times"/>
          <w:sz w:val="20"/>
          <w:szCs w:val="20"/>
        </w:rPr>
        <w:tab/>
        <w:t xml:space="preserve">Civil Remedies: Private parties injured by RICO violations can sue for treble damages (three times the actual damages sustained) plus attorney’s fees and litigation costs. A criminal conviction under RICO also estops the defendant from denying the allegations in subsequent civil proceedings. </w:t>
      </w:r>
    </w:p>
    <w:p w14:paraId="13441BFF" w14:textId="77777777" w:rsidR="002753CD" w:rsidRPr="002753CD" w:rsidRDefault="002753CD" w:rsidP="002753CD">
      <w:pPr>
        <w:rPr>
          <w:rFonts w:ascii="Times" w:hAnsi="Times" w:cs="Times"/>
          <w:sz w:val="20"/>
          <w:szCs w:val="20"/>
        </w:rPr>
      </w:pPr>
    </w:p>
    <w:p w14:paraId="36F2BA50" w14:textId="77777777" w:rsidR="002753CD" w:rsidRPr="002753CD" w:rsidRDefault="002753CD" w:rsidP="002753CD">
      <w:pPr>
        <w:rPr>
          <w:rFonts w:ascii="Times" w:hAnsi="Times" w:cs="Times"/>
          <w:sz w:val="20"/>
          <w:szCs w:val="20"/>
        </w:rPr>
      </w:pPr>
    </w:p>
    <w:p w14:paraId="18E25D24" w14:textId="77777777" w:rsidR="002753CD" w:rsidRPr="002753CD" w:rsidRDefault="002753CD" w:rsidP="002753CD">
      <w:pPr>
        <w:rPr>
          <w:rFonts w:ascii="Times" w:hAnsi="Times" w:cs="Times"/>
          <w:sz w:val="20"/>
          <w:szCs w:val="20"/>
        </w:rPr>
      </w:pPr>
      <w:r w:rsidRPr="002753CD">
        <w:rPr>
          <w:rFonts w:ascii="Times" w:hAnsi="Times" w:cs="Times"/>
          <w:sz w:val="20"/>
          <w:szCs w:val="20"/>
        </w:rPr>
        <w:t>Press releases to mainstream and alternative news sites should call forth the multitudes who are being targeted to come forth and give testimony.</w:t>
      </w:r>
    </w:p>
    <w:p w14:paraId="3F1BEBE5" w14:textId="77777777" w:rsidR="002753CD" w:rsidRPr="002753CD" w:rsidRDefault="002753CD" w:rsidP="002753CD">
      <w:pPr>
        <w:rPr>
          <w:rFonts w:ascii="Times" w:hAnsi="Times" w:cs="Times"/>
          <w:sz w:val="20"/>
          <w:szCs w:val="20"/>
        </w:rPr>
      </w:pPr>
    </w:p>
    <w:p w14:paraId="2D35846A" w14:textId="77777777" w:rsidR="002753CD" w:rsidRPr="002753CD" w:rsidRDefault="002753CD" w:rsidP="002753CD">
      <w:pPr>
        <w:rPr>
          <w:rFonts w:ascii="Times" w:hAnsi="Times" w:cs="Times"/>
          <w:sz w:val="20"/>
          <w:szCs w:val="20"/>
        </w:rPr>
      </w:pPr>
    </w:p>
    <w:p w14:paraId="79259046" w14:textId="77777777" w:rsidR="002753CD" w:rsidRPr="002753CD" w:rsidRDefault="002753CD" w:rsidP="002753CD">
      <w:pPr>
        <w:rPr>
          <w:rFonts w:ascii="Times" w:hAnsi="Times" w:cs="Times"/>
          <w:sz w:val="20"/>
          <w:szCs w:val="20"/>
        </w:rPr>
      </w:pPr>
    </w:p>
    <w:p w14:paraId="311CCF5B" w14:textId="77777777" w:rsidR="002753CD" w:rsidRPr="002753CD" w:rsidRDefault="002753CD" w:rsidP="002753CD">
      <w:pPr>
        <w:rPr>
          <w:rFonts w:ascii="Times" w:hAnsi="Times" w:cs="Times"/>
          <w:sz w:val="20"/>
          <w:szCs w:val="20"/>
        </w:rPr>
      </w:pPr>
    </w:p>
    <w:p w14:paraId="394BAEB3" w14:textId="77777777" w:rsidR="002753CD" w:rsidRPr="002753CD" w:rsidRDefault="002753CD" w:rsidP="002753CD">
      <w:pPr>
        <w:rPr>
          <w:rFonts w:ascii="Times" w:hAnsi="Times" w:cs="Times"/>
          <w:sz w:val="20"/>
          <w:szCs w:val="20"/>
        </w:rPr>
      </w:pPr>
    </w:p>
    <w:p w14:paraId="2779DE4C" w14:textId="77777777" w:rsidR="002753CD" w:rsidRPr="002753CD" w:rsidRDefault="002753CD" w:rsidP="002753CD">
      <w:pPr>
        <w:rPr>
          <w:rFonts w:ascii="Times" w:hAnsi="Times" w:cs="Times"/>
          <w:sz w:val="20"/>
          <w:szCs w:val="20"/>
        </w:rPr>
      </w:pPr>
    </w:p>
    <w:p w14:paraId="707B08CA" w14:textId="0951D836" w:rsidR="00200A6F" w:rsidRPr="002753CD" w:rsidRDefault="002753CD" w:rsidP="002753CD">
      <w:pPr>
        <w:rPr>
          <w:rFonts w:ascii="Times" w:hAnsi="Times" w:cs="Times"/>
          <w:sz w:val="20"/>
          <w:szCs w:val="20"/>
        </w:rPr>
      </w:pPr>
      <w:r w:rsidRPr="002753CD">
        <w:rPr>
          <w:rFonts w:ascii="Times" w:hAnsi="Times" w:cs="Times"/>
          <w:sz w:val="20"/>
          <w:szCs w:val="20"/>
        </w:rPr>
        <w:t xml:space="preserve">                   Thank you for your time and consideration of my testimony and suggestions!</w:t>
      </w:r>
    </w:p>
    <w:sectPr w:rsidR="00200A6F" w:rsidRPr="002753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CD"/>
    <w:rsid w:val="00200A6F"/>
    <w:rsid w:val="002753CD"/>
    <w:rsid w:val="003B39C4"/>
    <w:rsid w:val="00AA24CE"/>
    <w:rsid w:val="00CD4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44DCB"/>
  <w15:chartTrackingRefBased/>
  <w15:docId w15:val="{7DC137E2-C418-463C-A550-3045F84A7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3C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53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53C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53C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53C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53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3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3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3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3C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53C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53C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53C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53C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53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3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3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3CD"/>
    <w:rPr>
      <w:rFonts w:eastAsiaTheme="majorEastAsia" w:cstheme="majorBidi"/>
      <w:color w:val="272727" w:themeColor="text1" w:themeTint="D8"/>
    </w:rPr>
  </w:style>
  <w:style w:type="paragraph" w:styleId="Title">
    <w:name w:val="Title"/>
    <w:basedOn w:val="Normal"/>
    <w:next w:val="Normal"/>
    <w:link w:val="TitleChar"/>
    <w:uiPriority w:val="10"/>
    <w:qFormat/>
    <w:rsid w:val="002753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3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3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3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3CD"/>
    <w:pPr>
      <w:spacing w:before="160"/>
      <w:jc w:val="center"/>
    </w:pPr>
    <w:rPr>
      <w:i/>
      <w:iCs/>
      <w:color w:val="404040" w:themeColor="text1" w:themeTint="BF"/>
    </w:rPr>
  </w:style>
  <w:style w:type="character" w:customStyle="1" w:styleId="QuoteChar">
    <w:name w:val="Quote Char"/>
    <w:basedOn w:val="DefaultParagraphFont"/>
    <w:link w:val="Quote"/>
    <w:uiPriority w:val="29"/>
    <w:rsid w:val="002753CD"/>
    <w:rPr>
      <w:i/>
      <w:iCs/>
      <w:color w:val="404040" w:themeColor="text1" w:themeTint="BF"/>
    </w:rPr>
  </w:style>
  <w:style w:type="paragraph" w:styleId="ListParagraph">
    <w:name w:val="List Paragraph"/>
    <w:basedOn w:val="Normal"/>
    <w:uiPriority w:val="34"/>
    <w:qFormat/>
    <w:rsid w:val="002753CD"/>
    <w:pPr>
      <w:ind w:left="720"/>
      <w:contextualSpacing/>
    </w:pPr>
  </w:style>
  <w:style w:type="character" w:styleId="IntenseEmphasis">
    <w:name w:val="Intense Emphasis"/>
    <w:basedOn w:val="DefaultParagraphFont"/>
    <w:uiPriority w:val="21"/>
    <w:qFormat/>
    <w:rsid w:val="002753CD"/>
    <w:rPr>
      <w:i/>
      <w:iCs/>
      <w:color w:val="2F5496" w:themeColor="accent1" w:themeShade="BF"/>
    </w:rPr>
  </w:style>
  <w:style w:type="paragraph" w:styleId="IntenseQuote">
    <w:name w:val="Intense Quote"/>
    <w:basedOn w:val="Normal"/>
    <w:next w:val="Normal"/>
    <w:link w:val="IntenseQuoteChar"/>
    <w:uiPriority w:val="30"/>
    <w:qFormat/>
    <w:rsid w:val="002753C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53CD"/>
    <w:rPr>
      <w:i/>
      <w:iCs/>
      <w:color w:val="2F5496" w:themeColor="accent1" w:themeShade="BF"/>
    </w:rPr>
  </w:style>
  <w:style w:type="character" w:styleId="IntenseReference">
    <w:name w:val="Intense Reference"/>
    <w:basedOn w:val="DefaultParagraphFont"/>
    <w:uiPriority w:val="32"/>
    <w:qFormat/>
    <w:rsid w:val="002753C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2417</Words>
  <Characters>13777</Characters>
  <Application>Microsoft Office Word</Application>
  <DocSecurity>0</DocSecurity>
  <Lines>114</Lines>
  <Paragraphs>32</Paragraphs>
  <ScaleCrop>false</ScaleCrop>
  <Company/>
  <LinksUpToDate>false</LinksUpToDate>
  <CharactersWithSpaces>16162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dc:creator>
  <cp:keywords/>
  <dc:description/>
  <cp:lastModifiedBy>ALL</cp:lastModifiedBy>
  <cp:revision>1</cp:revision>
  <dcterms:created xsi:type="dcterms:W3CDTF">2026-10-21T17:02:00Z</dcterms:created>
  <dcterms:modified xsi:type="dcterms:W3CDTF">2026-10-21T17:03:00Z</dcterms:modified>
</cp:coreProperties>
</file>