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7AF0C" w14:textId="77777777" w:rsidR="00DF2CA2" w:rsidRDefault="00493E14" w:rsidP="00161DA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noProof/>
          <w:kern w:val="0"/>
          <w:sz w:val="24"/>
          <w:lang w:val="en-US" w:eastAsia="en-US" w:bidi="ar-SA"/>
        </w:rPr>
        <w:drawing>
          <wp:inline distT="0" distB="0" distL="0" distR="0" wp14:anchorId="1A55B9F9" wp14:editId="65CC4884">
            <wp:extent cx="2990157" cy="768943"/>
            <wp:effectExtent l="19050" t="0" r="693" b="0"/>
            <wp:docPr id="1" name="Picture 0" descr="McGill Medicin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Gill Medicine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1377" cy="76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31D2E" w14:textId="77777777" w:rsidR="00DF2CA2" w:rsidRDefault="00DF2CA2" w:rsidP="00161DA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>2026-10-19</w:t>
      </w:r>
    </w:p>
    <w:p w14:paraId="3AE31B91" w14:textId="77777777" w:rsidR="00DF2CA2" w:rsidRDefault="00DF2CA2" w:rsidP="00161DA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</w:p>
    <w:p w14:paraId="35A569CF" w14:textId="77777777" w:rsidR="00EC5E3D" w:rsidRPr="007173BC" w:rsidRDefault="00EC5E3D" w:rsidP="00161DA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 w:rsidRPr="007173BC">
        <w:rPr>
          <w:rFonts w:eastAsia="Times New Roman" w:cs="Times New Roman"/>
          <w:kern w:val="0"/>
          <w:sz w:val="24"/>
          <w:lang w:val="en-US" w:eastAsia="en-US" w:bidi="ar-SA"/>
        </w:rPr>
        <w:t xml:space="preserve">I am a professor of </w:t>
      </w:r>
      <w:r w:rsidRPr="006E59B1">
        <w:rPr>
          <w:rFonts w:eastAsia="Times New Roman" w:cs="Times New Roman"/>
          <w:i/>
          <w:kern w:val="0"/>
          <w:sz w:val="24"/>
          <w:lang w:val="en-US" w:eastAsia="en-US" w:bidi="ar-SA"/>
        </w:rPr>
        <w:t>Health Effects of Electromagnetism</w:t>
      </w:r>
      <w:r w:rsidRPr="007173BC">
        <w:rPr>
          <w:rFonts w:eastAsia="Times New Roman" w:cs="Times New Roman"/>
          <w:kern w:val="0"/>
          <w:sz w:val="24"/>
          <w:lang w:val="en-US" w:eastAsia="en-US" w:bidi="ar-SA"/>
        </w:rPr>
        <w:t xml:space="preserve"> at </w:t>
      </w:r>
      <w:r w:rsidR="00EE78CE">
        <w:rPr>
          <w:rFonts w:eastAsia="Times New Roman" w:cs="Times New Roman"/>
          <w:kern w:val="0"/>
          <w:sz w:val="24"/>
          <w:lang w:val="en-US" w:eastAsia="en-US" w:bidi="ar-SA"/>
        </w:rPr>
        <w:t xml:space="preserve">the Faculty of Medicine, </w:t>
      </w:r>
      <w:r w:rsidRPr="007173BC">
        <w:rPr>
          <w:rFonts w:eastAsia="Times New Roman" w:cs="Times New Roman"/>
          <w:kern w:val="0"/>
          <w:sz w:val="24"/>
          <w:lang w:val="en-US" w:eastAsia="en-US" w:bidi="ar-SA"/>
        </w:rPr>
        <w:t xml:space="preserve">McGill University, Montreal, Canada. </w:t>
      </w:r>
    </w:p>
    <w:p w14:paraId="25D905C3" w14:textId="77777777" w:rsidR="00EC5E3D" w:rsidRDefault="00EC5E3D" w:rsidP="00161DA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 w:rsidRPr="007173BC">
        <w:rPr>
          <w:rFonts w:eastAsia="Times New Roman" w:cs="Times New Roman"/>
          <w:kern w:val="0"/>
          <w:sz w:val="24"/>
          <w:lang w:val="en-US" w:eastAsia="en-US" w:bidi="ar-SA"/>
        </w:rPr>
        <w:t xml:space="preserve">I have served on the New Hampshire Committee on the </w:t>
      </w:r>
      <w:r w:rsidR="00EE78CE">
        <w:rPr>
          <w:rFonts w:eastAsiaTheme="minorHAnsi" w:cs="Times New Roman"/>
          <w:kern w:val="0"/>
          <w:sz w:val="24"/>
          <w:lang w:val="en-US" w:eastAsia="en-US" w:bidi="ar-SA"/>
        </w:rPr>
        <w:t>Environmental and Health Effects of Evolving 5G Technology</w:t>
      </w:r>
      <w:r w:rsidRPr="007173BC">
        <w:rPr>
          <w:rFonts w:eastAsia="Times New Roman" w:cs="Times New Roman"/>
          <w:kern w:val="0"/>
          <w:sz w:val="24"/>
          <w:lang w:val="en-US" w:eastAsia="en-US" w:bidi="ar-SA"/>
        </w:rPr>
        <w:t xml:space="preserve"> (2020).</w:t>
      </w:r>
    </w:p>
    <w:p w14:paraId="11BEE255" w14:textId="6A01D5B8" w:rsidR="00EE78CE" w:rsidRDefault="006E59B1" w:rsidP="00EE78CE">
      <w:pPr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I am currently part of the HHS </w:t>
      </w:r>
      <w:r w:rsidR="00EE78CE">
        <w:rPr>
          <w:rFonts w:eastAsia="Times New Roman" w:cs="Times New Roman"/>
          <w:kern w:val="0"/>
          <w:sz w:val="24"/>
          <w:lang w:val="en-US" w:eastAsia="en-US" w:bidi="ar-SA"/>
        </w:rPr>
        <w:t xml:space="preserve">Committee </w:t>
      </w:r>
      <w:r w:rsidR="003F7901">
        <w:rPr>
          <w:rFonts w:eastAsia="Times New Roman" w:cs="Times New Roman"/>
          <w:kern w:val="0"/>
          <w:sz w:val="24"/>
          <w:lang w:val="en-US" w:eastAsia="en-US" w:bidi="ar-SA"/>
        </w:rPr>
        <w:t>r</w:t>
      </w:r>
      <w:r w:rsidR="003F7901" w:rsidRPr="00EE78CE">
        <w:rPr>
          <w:rFonts w:eastAsia="Times New Roman" w:cs="Times New Roman"/>
          <w:kern w:val="0"/>
          <w:sz w:val="24"/>
          <w:lang w:val="en-US" w:eastAsia="en-US" w:bidi="ar-SA"/>
        </w:rPr>
        <w:t>eviewing Scientific</w:t>
      </w:r>
      <w:r w:rsidR="00EE78CE">
        <w:rPr>
          <w:rFonts w:eastAsia="Times New Roman" w:cs="Times New Roman"/>
          <w:kern w:val="0"/>
          <w:sz w:val="24"/>
          <w:lang w:val="en-US" w:eastAsia="en-US" w:bidi="ar-SA"/>
        </w:rPr>
        <w:t xml:space="preserve"> Evidence, Regulatory Analysis, </w:t>
      </w:r>
      <w:r w:rsidR="003F7901" w:rsidRPr="00EE78CE">
        <w:rPr>
          <w:rFonts w:eastAsia="Times New Roman" w:cs="Times New Roman"/>
          <w:kern w:val="0"/>
          <w:sz w:val="24"/>
          <w:lang w:val="en-US" w:eastAsia="en-US" w:bidi="ar-SA"/>
        </w:rPr>
        <w:t>and Policy Recommendations</w:t>
      </w:r>
      <w:r w:rsidR="00EE78CE" w:rsidRPr="00EE78CE">
        <w:rPr>
          <w:rFonts w:eastAsia="Times New Roman" w:cs="Times New Roman"/>
          <w:kern w:val="0"/>
          <w:sz w:val="24"/>
          <w:lang w:val="en-US" w:eastAsia="en-US" w:bidi="ar-SA"/>
        </w:rPr>
        <w:t xml:space="preserve"> on Electromagnetic Radiation</w:t>
      </w:r>
      <w:r w:rsidR="00D400E0">
        <w:rPr>
          <w:rFonts w:eastAsia="Times New Roman" w:cs="Times New Roman"/>
          <w:kern w:val="0"/>
          <w:sz w:val="24"/>
          <w:lang w:val="en-US" w:eastAsia="en-US" w:bidi="ar-SA"/>
        </w:rPr>
        <w:t xml:space="preserve"> Health Effects</w:t>
      </w:r>
      <w:r w:rsidR="00EE78CE" w:rsidRPr="00EE78CE">
        <w:rPr>
          <w:rFonts w:eastAsia="Times New Roman" w:cs="Times New Roman"/>
          <w:kern w:val="0"/>
          <w:sz w:val="24"/>
          <w:lang w:val="en-US" w:eastAsia="en-US" w:bidi="ar-SA"/>
        </w:rPr>
        <w:t>.</w:t>
      </w:r>
    </w:p>
    <w:p w14:paraId="62FD9E35" w14:textId="7A80F961" w:rsidR="004F4B9D" w:rsidRPr="007173BC" w:rsidRDefault="004F4B9D" w:rsidP="00EE78CE">
      <w:pPr>
        <w:spacing w:after="100"/>
        <w:rPr>
          <w:rFonts w:eastAsia="Times New Roman" w:cs="Times New Roman"/>
          <w:kern w:val="0"/>
          <w:sz w:val="24"/>
          <w:lang w:val="en-US" w:eastAsia="en-US" w:bidi="ar-SA"/>
        </w:rPr>
      </w:pPr>
      <w:r w:rsidRPr="007173BC">
        <w:rPr>
          <w:rFonts w:eastAsia="Times New Roman" w:cs="Times New Roman"/>
          <w:kern w:val="0"/>
          <w:sz w:val="24"/>
          <w:lang w:val="en-US" w:eastAsia="en-US" w:bidi="ar-SA"/>
        </w:rPr>
        <w:t xml:space="preserve">I have been involved </w:t>
      </w:r>
      <w:r w:rsidR="00D400E0" w:rsidRPr="007173BC">
        <w:rPr>
          <w:rFonts w:eastAsia="Times New Roman" w:cs="Times New Roman"/>
          <w:kern w:val="0"/>
          <w:sz w:val="24"/>
          <w:lang w:val="en-US" w:eastAsia="en-US" w:bidi="ar-SA"/>
        </w:rPr>
        <w:t>in</w:t>
      </w:r>
      <w:r w:rsidRPr="007173BC">
        <w:rPr>
          <w:rFonts w:eastAsia="Times New Roman" w:cs="Times New Roman"/>
          <w:kern w:val="0"/>
          <w:sz w:val="24"/>
          <w:lang w:val="en-US" w:eastAsia="en-US" w:bidi="ar-SA"/>
        </w:rPr>
        <w:t xml:space="preserve"> EMR safety for about 35 years and currently serve as the vice-chair of ICBE-EMF (</w:t>
      </w:r>
      <w:hyperlink r:id="rId6" w:history="1">
        <w:r w:rsidRPr="007173BC">
          <w:rPr>
            <w:rStyle w:val="Hyperlink"/>
            <w:rFonts w:eastAsia="Times New Roman" w:cs="Times New Roman"/>
            <w:kern w:val="0"/>
            <w:sz w:val="24"/>
            <w:lang w:val="en-US" w:eastAsia="en-US" w:bidi="ar-SA"/>
          </w:rPr>
          <w:t>ICBE-EMF.org</w:t>
        </w:r>
      </w:hyperlink>
      <w:r w:rsidRPr="007173BC">
        <w:rPr>
          <w:rFonts w:eastAsia="Times New Roman" w:cs="Times New Roman"/>
          <w:kern w:val="0"/>
          <w:sz w:val="24"/>
          <w:lang w:val="en-US" w:eastAsia="en-US" w:bidi="ar-SA"/>
        </w:rPr>
        <w:t>), a scientific organization specifically oriented to the improvement of RF safety limits.</w:t>
      </w:r>
    </w:p>
    <w:p w14:paraId="36AB5476" w14:textId="77777777" w:rsidR="00EE39B4" w:rsidRDefault="00EE39B4" w:rsidP="00161DA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</w:p>
    <w:p w14:paraId="65D3FA59" w14:textId="77777777" w:rsidR="004F4B9D" w:rsidRPr="007173BC" w:rsidRDefault="00EE39B4" w:rsidP="00161DA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>ACKNOWLEDGEMENT</w:t>
      </w:r>
      <w:r w:rsidR="00EE78CE">
        <w:rPr>
          <w:rFonts w:eastAsia="Times New Roman" w:cs="Times New Roman"/>
          <w:kern w:val="0"/>
          <w:sz w:val="24"/>
          <w:lang w:val="en-US" w:eastAsia="en-US" w:bidi="ar-SA"/>
        </w:rPr>
        <w:t xml:space="preserve"> OF THE PROBLEM</w:t>
      </w:r>
    </w:p>
    <w:p w14:paraId="10380D1D" w14:textId="77777777" w:rsidR="00EE39B4" w:rsidRDefault="00EE78CE" w:rsidP="00A7221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>I</w:t>
      </w:r>
      <w:r w:rsidR="00EE39B4">
        <w:rPr>
          <w:rFonts w:eastAsia="Times New Roman" w:cs="Times New Roman"/>
          <w:kern w:val="0"/>
          <w:sz w:val="24"/>
          <w:lang w:val="en-US" w:eastAsia="en-US" w:bidi="ar-SA"/>
        </w:rPr>
        <w:t>n the US</w:t>
      </w:r>
      <w:r>
        <w:rPr>
          <w:rFonts w:eastAsia="Times New Roman" w:cs="Times New Roman"/>
          <w:kern w:val="0"/>
          <w:sz w:val="24"/>
          <w:lang w:val="en-US" w:eastAsia="en-US" w:bidi="ar-SA"/>
        </w:rPr>
        <w:t>,</w:t>
      </w:r>
      <w:r w:rsidR="00EE39B4">
        <w:rPr>
          <w:rFonts w:eastAsia="Times New Roman" w:cs="Times New Roman"/>
          <w:kern w:val="0"/>
          <w:sz w:val="24"/>
          <w:lang w:val="en-US" w:eastAsia="en-US" w:bidi="ar-SA"/>
        </w:rPr>
        <w:t xml:space="preserve"> </w:t>
      </w:r>
      <w:r w:rsidR="00A72210">
        <w:rPr>
          <w:rFonts w:eastAsia="Times New Roman" w:cs="Times New Roman"/>
          <w:kern w:val="0"/>
          <w:sz w:val="24"/>
          <w:lang w:val="en-US" w:eastAsia="en-US" w:bidi="ar-SA"/>
        </w:rPr>
        <w:t xml:space="preserve">the biological and health effects of electromagnetic radiation </w:t>
      </w:r>
      <w:r w:rsidR="00BE1B2C">
        <w:rPr>
          <w:rFonts w:eastAsia="Times New Roman" w:cs="Times New Roman"/>
          <w:kern w:val="0"/>
          <w:sz w:val="24"/>
          <w:lang w:val="en-US" w:eastAsia="en-US" w:bidi="ar-SA"/>
        </w:rPr>
        <w:t>(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>EMR</w:t>
      </w:r>
      <w:r w:rsidR="00BE1B2C">
        <w:rPr>
          <w:rFonts w:eastAsia="Times New Roman" w:cs="Times New Roman"/>
          <w:kern w:val="0"/>
          <w:sz w:val="24"/>
          <w:lang w:val="en-US" w:eastAsia="en-US" w:bidi="ar-SA"/>
        </w:rPr>
        <w:t xml:space="preserve">) 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 xml:space="preserve">at ELF and RF frequencies </w:t>
      </w:r>
      <w:r w:rsidR="00A72210">
        <w:rPr>
          <w:rFonts w:eastAsia="Times New Roman" w:cs="Times New Roman"/>
          <w:kern w:val="0"/>
          <w:sz w:val="24"/>
          <w:lang w:val="en-US" w:eastAsia="en-US" w:bidi="ar-SA"/>
        </w:rPr>
        <w:t xml:space="preserve">are being </w:t>
      </w:r>
      <w:r w:rsidR="00BE1B2C">
        <w:rPr>
          <w:rFonts w:eastAsia="Times New Roman" w:cs="Times New Roman"/>
          <w:kern w:val="0"/>
          <w:sz w:val="24"/>
          <w:lang w:val="en-US" w:eastAsia="en-US" w:bidi="ar-SA"/>
        </w:rPr>
        <w:t>recognized</w:t>
      </w:r>
      <w:r>
        <w:rPr>
          <w:rFonts w:eastAsia="Times New Roman" w:cs="Times New Roman"/>
          <w:kern w:val="0"/>
          <w:sz w:val="24"/>
          <w:lang w:val="en-US" w:eastAsia="en-US" w:bidi="ar-SA"/>
        </w:rPr>
        <w:t>,</w:t>
      </w:r>
      <w:r w:rsidR="00EE39B4">
        <w:rPr>
          <w:rFonts w:eastAsia="Times New Roman" w:cs="Times New Roman"/>
          <w:kern w:val="0"/>
          <w:sz w:val="24"/>
          <w:lang w:val="en-US" w:eastAsia="en-US" w:bidi="ar-SA"/>
        </w:rPr>
        <w:t xml:space="preserve"> and </w:t>
      </w:r>
      <w:r w:rsidR="00A72210">
        <w:rPr>
          <w:rFonts w:eastAsia="Times New Roman" w:cs="Times New Roman"/>
          <w:kern w:val="0"/>
          <w:sz w:val="24"/>
          <w:lang w:val="en-US" w:eastAsia="en-US" w:bidi="ar-SA"/>
        </w:rPr>
        <w:t xml:space="preserve">concrete action </w:t>
      </w:r>
      <w:r w:rsidR="00EE39B4">
        <w:rPr>
          <w:rFonts w:eastAsia="Times New Roman" w:cs="Times New Roman"/>
          <w:kern w:val="0"/>
          <w:sz w:val="24"/>
          <w:lang w:val="en-US" w:eastAsia="en-US" w:bidi="ar-SA"/>
        </w:rPr>
        <w:t xml:space="preserve">is envisaged </w:t>
      </w:r>
      <w:r w:rsidR="00A72210">
        <w:rPr>
          <w:rFonts w:eastAsia="Times New Roman" w:cs="Times New Roman"/>
          <w:kern w:val="0"/>
          <w:sz w:val="24"/>
          <w:lang w:val="en-US" w:eastAsia="en-US" w:bidi="ar-SA"/>
        </w:rPr>
        <w:t>to attenuate the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>m in the general population</w:t>
      </w:r>
      <w:r w:rsidR="00A72210">
        <w:rPr>
          <w:rFonts w:eastAsia="Times New Roman" w:cs="Times New Roman"/>
          <w:kern w:val="0"/>
          <w:sz w:val="24"/>
          <w:lang w:val="en-US" w:eastAsia="en-US" w:bidi="ar-SA"/>
        </w:rPr>
        <w:t xml:space="preserve">. </w:t>
      </w:r>
    </w:p>
    <w:p w14:paraId="515BD0C6" w14:textId="77777777" w:rsidR="00EE39B4" w:rsidRDefault="00EE39B4" w:rsidP="00A7221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</w:p>
    <w:p w14:paraId="4A652175" w14:textId="77777777" w:rsidR="0071475A" w:rsidRDefault="0071475A" w:rsidP="00A7221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>HEALTH IMPACTS TO CONSIDER</w:t>
      </w:r>
    </w:p>
    <w:p w14:paraId="24C16411" w14:textId="77777777" w:rsidR="007F39B6" w:rsidRDefault="0071475A" w:rsidP="00A7221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>Investigations of the past have focused on cancers, fertility</w:t>
      </w:r>
      <w:r w:rsidR="00EE78CE">
        <w:rPr>
          <w:rFonts w:eastAsia="Times New Roman" w:cs="Times New Roman"/>
          <w:kern w:val="0"/>
          <w:sz w:val="24"/>
          <w:lang w:val="en-US" w:eastAsia="en-US" w:bidi="ar-SA"/>
        </w:rPr>
        <w:t>/</w:t>
      </w:r>
      <w:r w:rsidR="007F39B6">
        <w:rPr>
          <w:rFonts w:eastAsia="Times New Roman" w:cs="Times New Roman"/>
          <w:kern w:val="0"/>
          <w:sz w:val="24"/>
          <w:lang w:val="en-US" w:eastAsia="en-US" w:bidi="ar-SA"/>
        </w:rPr>
        <w:t xml:space="preserve">reproductive 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impacts and chronic neurological </w:t>
      </w:r>
      <w:r w:rsidR="007F39B6">
        <w:rPr>
          <w:rFonts w:eastAsia="Times New Roman" w:cs="Times New Roman"/>
          <w:kern w:val="0"/>
          <w:sz w:val="24"/>
          <w:lang w:val="en-US" w:eastAsia="en-US" w:bidi="ar-SA"/>
        </w:rPr>
        <w:t xml:space="preserve">or metabolic 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conditions. </w:t>
      </w:r>
    </w:p>
    <w:p w14:paraId="2A289C7F" w14:textId="57EFA2AB" w:rsidR="003F7901" w:rsidRDefault="0071475A" w:rsidP="0071475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A major mechanism by which EMR acts on biological function is interference with the electron and proton currents </w:t>
      </w:r>
      <w:r w:rsidR="00DB550E">
        <w:rPr>
          <w:rFonts w:eastAsia="Times New Roman" w:cs="Times New Roman"/>
          <w:kern w:val="0"/>
          <w:sz w:val="24"/>
          <w:lang w:val="en-US" w:eastAsia="en-US" w:bidi="ar-SA"/>
        </w:rPr>
        <w:t xml:space="preserve">of oxidative phosphorylation (OXPHOS) 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in mitochondria. </w:t>
      </w:r>
      <w:r w:rsidR="007F39B6">
        <w:rPr>
          <w:rFonts w:eastAsia="Times New Roman" w:cs="Times New Roman"/>
          <w:kern w:val="0"/>
          <w:sz w:val="24"/>
          <w:lang w:val="en-US" w:eastAsia="en-US" w:bidi="ar-SA"/>
        </w:rPr>
        <w:t xml:space="preserve">Since all cells in the body depend on this mechanism, 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 xml:space="preserve">the diseases that could occur </w:t>
      </w:r>
      <w:r w:rsidR="00DB550E">
        <w:rPr>
          <w:rFonts w:eastAsia="Times New Roman" w:cs="Times New Roman"/>
          <w:kern w:val="0"/>
          <w:sz w:val="24"/>
          <w:lang w:val="en-US" w:eastAsia="en-US" w:bidi="ar-SA"/>
        </w:rPr>
        <w:t xml:space="preserve">downstream 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 xml:space="preserve">are </w:t>
      </w:r>
      <w:r w:rsidR="007F39B6">
        <w:rPr>
          <w:rFonts w:eastAsia="Times New Roman" w:cs="Times New Roman"/>
          <w:kern w:val="0"/>
          <w:sz w:val="24"/>
          <w:lang w:val="en-US" w:eastAsia="en-US" w:bidi="ar-SA"/>
        </w:rPr>
        <w:t xml:space="preserve">wide-ranging. 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 xml:space="preserve">The health impacts could easily be confounded with diseases already </w:t>
      </w:r>
      <w:r w:rsidR="00D400E0">
        <w:rPr>
          <w:rFonts w:eastAsia="Times New Roman" w:cs="Times New Roman"/>
          <w:kern w:val="0"/>
          <w:sz w:val="24"/>
          <w:lang w:val="en-US" w:eastAsia="en-US" w:bidi="ar-SA"/>
        </w:rPr>
        <w:t xml:space="preserve">long 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>present in the population, so good studies must be conducted to isolate the effect specifically related to EMR.</w:t>
      </w:r>
      <w:r w:rsidR="009B5D7B">
        <w:rPr>
          <w:rFonts w:eastAsia="Times New Roman" w:cs="Times New Roman"/>
          <w:kern w:val="0"/>
          <w:sz w:val="24"/>
          <w:lang w:val="en-US" w:eastAsia="en-US" w:bidi="ar-SA"/>
        </w:rPr>
        <w:t xml:space="preserve">The fact that both ELF and RF exposures are associated with 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 xml:space="preserve">increased concentrations of </w:t>
      </w:r>
      <w:r w:rsidR="009B5D7B">
        <w:rPr>
          <w:rFonts w:eastAsia="Times New Roman" w:cs="Times New Roman"/>
          <w:kern w:val="0"/>
          <w:sz w:val="24"/>
          <w:lang w:val="en-US" w:eastAsia="en-US" w:bidi="ar-SA"/>
        </w:rPr>
        <w:t xml:space="preserve">Reactive Oxygen Species </w:t>
      </w:r>
      <w:r w:rsidR="003F7901">
        <w:rPr>
          <w:rFonts w:eastAsia="Times New Roman" w:cs="Times New Roman"/>
          <w:kern w:val="0"/>
          <w:sz w:val="24"/>
          <w:lang w:val="en-US" w:eastAsia="en-US" w:bidi="ar-SA"/>
        </w:rPr>
        <w:t xml:space="preserve">(ROS) </w:t>
      </w:r>
      <w:r w:rsidR="009B5D7B">
        <w:rPr>
          <w:rFonts w:eastAsia="Times New Roman" w:cs="Times New Roman"/>
          <w:kern w:val="0"/>
          <w:sz w:val="24"/>
          <w:lang w:val="en-US" w:eastAsia="en-US" w:bidi="ar-SA"/>
        </w:rPr>
        <w:t>also argues to widen the scope of possible pathologies</w:t>
      </w:r>
      <w:r w:rsidR="00DB550E">
        <w:rPr>
          <w:rFonts w:eastAsia="Times New Roman" w:cs="Times New Roman"/>
          <w:kern w:val="0"/>
          <w:sz w:val="24"/>
          <w:lang w:val="en-US" w:eastAsia="en-US" w:bidi="ar-SA"/>
        </w:rPr>
        <w:t xml:space="preserve"> beyond those previously scrutinized</w:t>
      </w:r>
      <w:r w:rsidR="009B5D7B">
        <w:rPr>
          <w:rFonts w:eastAsia="Times New Roman" w:cs="Times New Roman"/>
          <w:kern w:val="0"/>
          <w:sz w:val="24"/>
          <w:lang w:val="en-US" w:eastAsia="en-US" w:bidi="ar-SA"/>
        </w:rPr>
        <w:t xml:space="preserve">. </w:t>
      </w:r>
    </w:p>
    <w:p w14:paraId="73087014" w14:textId="77777777" w:rsidR="00BE1B2C" w:rsidRDefault="00BE1B2C" w:rsidP="0071475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</w:p>
    <w:p w14:paraId="25C09518" w14:textId="77777777" w:rsidR="00BE1B2C" w:rsidRDefault="00BE1B2C" w:rsidP="0071475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>INVESTIGATION</w:t>
      </w:r>
    </w:p>
    <w:p w14:paraId="68248DDC" w14:textId="77777777" w:rsidR="00BE1B2C" w:rsidRDefault="007F39B6" w:rsidP="0071475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>P</w:t>
      </w:r>
      <w:r w:rsidR="0071475A">
        <w:rPr>
          <w:rFonts w:eastAsia="Times New Roman" w:cs="Times New Roman"/>
          <w:kern w:val="0"/>
          <w:sz w:val="24"/>
          <w:lang w:val="en-US" w:eastAsia="en-US" w:bidi="ar-SA"/>
        </w:rPr>
        <w:t>ast experience with</w:t>
      </w:r>
      <w:r w:rsidR="009B5D7B">
        <w:rPr>
          <w:rFonts w:eastAsia="Times New Roman" w:cs="Times New Roman"/>
          <w:kern w:val="0"/>
          <w:sz w:val="24"/>
          <w:lang w:val="en-US" w:eastAsia="en-US" w:bidi="ar-SA"/>
        </w:rPr>
        <w:t xml:space="preserve"> genetic (as opposed to environmental) </w:t>
      </w:r>
      <w:r w:rsidR="0071475A">
        <w:rPr>
          <w:rFonts w:eastAsia="Times New Roman" w:cs="Times New Roman"/>
          <w:kern w:val="0"/>
          <w:sz w:val="24"/>
          <w:lang w:val="en-US" w:eastAsia="en-US" w:bidi="ar-SA"/>
        </w:rPr>
        <w:t xml:space="preserve">mitochondrial disease 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indicates that multiple organ systems are affected, that organs </w:t>
      </w:r>
      <w:r w:rsidR="002F0A08">
        <w:rPr>
          <w:rFonts w:eastAsia="Times New Roman" w:cs="Times New Roman"/>
          <w:kern w:val="0"/>
          <w:sz w:val="24"/>
          <w:lang w:val="en-US" w:eastAsia="en-US" w:bidi="ar-SA"/>
        </w:rPr>
        <w:t xml:space="preserve">or processes </w:t>
      </w:r>
      <w:r>
        <w:rPr>
          <w:rFonts w:eastAsia="Times New Roman" w:cs="Times New Roman"/>
          <w:kern w:val="0"/>
          <w:sz w:val="24"/>
          <w:lang w:val="en-US" w:eastAsia="en-US" w:bidi="ar-SA"/>
        </w:rPr>
        <w:t>with high energy demands will be affected acutely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>,</w:t>
      </w:r>
      <w:r w:rsidR="00BE1B2C">
        <w:rPr>
          <w:rFonts w:eastAsia="Times New Roman" w:cs="Times New Roman"/>
          <w:kern w:val="0"/>
          <w:sz w:val="24"/>
          <w:lang w:val="en-US" w:eastAsia="en-US" w:bidi="ar-SA"/>
        </w:rPr>
        <w:t xml:space="preserve"> but that </w:t>
      </w:r>
      <w:r>
        <w:rPr>
          <w:rFonts w:eastAsia="Times New Roman" w:cs="Times New Roman"/>
          <w:kern w:val="0"/>
          <w:sz w:val="24"/>
          <w:lang w:val="en-US" w:eastAsia="en-US" w:bidi="ar-SA"/>
        </w:rPr>
        <w:t>chronic effects could involve more organs</w:t>
      </w:r>
      <w:r w:rsidR="002F0A08">
        <w:rPr>
          <w:rFonts w:eastAsia="Times New Roman" w:cs="Times New Roman"/>
          <w:kern w:val="0"/>
          <w:sz w:val="24"/>
          <w:lang w:val="en-US" w:eastAsia="en-US" w:bidi="ar-SA"/>
        </w:rPr>
        <w:t xml:space="preserve"> or processes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. </w:t>
      </w:r>
    </w:p>
    <w:p w14:paraId="5D633073" w14:textId="3954BA15" w:rsidR="007F39B6" w:rsidRDefault="007F39B6" w:rsidP="0071475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>It is also expected that extreme clinical heterogeneity</w:t>
      </w:r>
      <w:r w:rsidR="009B5D7B">
        <w:rPr>
          <w:rFonts w:eastAsia="Times New Roman" w:cs="Times New Roman"/>
          <w:kern w:val="0"/>
          <w:sz w:val="24"/>
          <w:lang w:val="en-US" w:eastAsia="en-US" w:bidi="ar-SA"/>
        </w:rPr>
        <w:t xml:space="preserve"> can occur within a </w:t>
      </w:r>
      <w:r w:rsidR="00BE1B2C">
        <w:rPr>
          <w:rFonts w:eastAsia="Times New Roman" w:cs="Times New Roman"/>
          <w:kern w:val="0"/>
          <w:sz w:val="24"/>
          <w:lang w:val="en-US" w:eastAsia="en-US" w:bidi="ar-SA"/>
        </w:rPr>
        <w:t xml:space="preserve">single </w:t>
      </w:r>
      <w:r w:rsidR="009B5D7B">
        <w:rPr>
          <w:rFonts w:eastAsia="Times New Roman" w:cs="Times New Roman"/>
          <w:kern w:val="0"/>
          <w:sz w:val="24"/>
          <w:lang w:val="en-US" w:eastAsia="en-US" w:bidi="ar-SA"/>
        </w:rPr>
        <w:t>person, family or among experimental animals, making full detection of EMR health impacts a more difficult challenge than what is classically encountered in toxicology</w:t>
      </w:r>
      <w:r w:rsidR="003F7901">
        <w:rPr>
          <w:rFonts w:eastAsia="Times New Roman" w:cs="Times New Roman"/>
          <w:kern w:val="0"/>
          <w:sz w:val="24"/>
          <w:lang w:val="en-US" w:eastAsia="en-US" w:bidi="ar-SA"/>
        </w:rPr>
        <w:t>.</w:t>
      </w:r>
      <w:r w:rsidR="00BE1B2C">
        <w:rPr>
          <w:rFonts w:eastAsia="Times New Roman" w:cs="Times New Roman"/>
          <w:kern w:val="0"/>
          <w:sz w:val="24"/>
          <w:lang w:val="en-US" w:eastAsia="en-US" w:bidi="ar-SA"/>
        </w:rPr>
        <w:t xml:space="preserve"> </w:t>
      </w:r>
      <w:r w:rsidR="00D400E0">
        <w:rPr>
          <w:rFonts w:eastAsia="Times New Roman" w:cs="Times New Roman"/>
          <w:kern w:val="0"/>
          <w:sz w:val="24"/>
          <w:lang w:val="en-US" w:eastAsia="en-US" w:bidi="ar-SA"/>
        </w:rPr>
        <w:t>EMR</w:t>
      </w:r>
      <w:r w:rsidR="00BE1B2C">
        <w:rPr>
          <w:rFonts w:eastAsia="Times New Roman" w:cs="Times New Roman"/>
          <w:kern w:val="0"/>
          <w:sz w:val="24"/>
          <w:lang w:val="en-US" w:eastAsia="en-US" w:bidi="ar-SA"/>
        </w:rPr>
        <w:t xml:space="preserve"> literature is 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>handicapped</w:t>
      </w:r>
      <w:r w:rsidR="00BE1B2C">
        <w:rPr>
          <w:rFonts w:eastAsia="Times New Roman" w:cs="Times New Roman"/>
          <w:kern w:val="0"/>
          <w:sz w:val="24"/>
          <w:lang w:val="en-US" w:eastAsia="en-US" w:bidi="ar-SA"/>
        </w:rPr>
        <w:t xml:space="preserve"> by the fact that control references, environments representing true pre-industrial conditions, are rarely achieved in experiments, particularly for ELF radiation.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 xml:space="preserve"> </w:t>
      </w:r>
      <w:r w:rsidR="00014034">
        <w:rPr>
          <w:rFonts w:eastAsia="Times New Roman" w:cs="Times New Roman"/>
          <w:kern w:val="0"/>
          <w:sz w:val="24"/>
          <w:lang w:val="en-US" w:eastAsia="en-US" w:bidi="ar-SA"/>
        </w:rPr>
        <w:t>M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>ost reports document differences between two levels of exposure as opposed to the absolute effect</w:t>
      </w:r>
      <w:r w:rsidR="00DB550E">
        <w:rPr>
          <w:rFonts w:eastAsia="Times New Roman" w:cs="Times New Roman"/>
          <w:kern w:val="0"/>
          <w:sz w:val="24"/>
          <w:lang w:val="en-US" w:eastAsia="en-US" w:bidi="ar-SA"/>
        </w:rPr>
        <w:t xml:space="preserve"> of EMR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>.</w:t>
      </w:r>
    </w:p>
    <w:p w14:paraId="41468B76" w14:textId="67B2B5DF" w:rsidR="00BE1B2C" w:rsidRDefault="00BE1B2C" w:rsidP="0071475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Past methods of Public Health have often involved investigations of single chemicals </w:t>
      </w:r>
      <w:r w:rsidR="00B00099">
        <w:rPr>
          <w:rFonts w:eastAsia="Times New Roman" w:cs="Times New Roman"/>
          <w:kern w:val="0"/>
          <w:sz w:val="24"/>
          <w:lang w:val="en-US" w:eastAsia="en-US" w:bidi="ar-SA"/>
        </w:rPr>
        <w:t xml:space="preserve">with 3-5 doses for animal experiments in toxicology or of groups similarly segmented for exposure in epidemiology. </w:t>
      </w:r>
      <w:r w:rsidR="002F0A08">
        <w:rPr>
          <w:rFonts w:eastAsia="Times New Roman" w:cs="Times New Roman"/>
          <w:kern w:val="0"/>
          <w:sz w:val="24"/>
          <w:lang w:val="en-US" w:eastAsia="en-US" w:bidi="ar-SA"/>
        </w:rPr>
        <w:t xml:space="preserve">More modern </w:t>
      </w:r>
      <w:r w:rsidR="002F0A08" w:rsidRPr="00D400E0">
        <w:rPr>
          <w:rFonts w:eastAsia="Times New Roman" w:cs="Times New Roman"/>
          <w:i/>
          <w:iCs/>
          <w:kern w:val="0"/>
          <w:sz w:val="24"/>
          <w:lang w:val="en-US" w:eastAsia="en-US" w:bidi="ar-SA"/>
        </w:rPr>
        <w:t>in vitro</w:t>
      </w:r>
      <w:r w:rsidR="002F0A08">
        <w:rPr>
          <w:rFonts w:eastAsia="Times New Roman" w:cs="Times New Roman"/>
          <w:kern w:val="0"/>
          <w:sz w:val="24"/>
          <w:lang w:val="en-US" w:eastAsia="en-US" w:bidi="ar-SA"/>
        </w:rPr>
        <w:t xml:space="preserve"> methods will be necessary if it is needed to identify </w:t>
      </w:r>
      <w:r w:rsidR="002F0A08">
        <w:rPr>
          <w:rFonts w:eastAsia="Times New Roman" w:cs="Times New Roman"/>
          <w:kern w:val="0"/>
          <w:sz w:val="24"/>
          <w:lang w:val="en-US" w:eastAsia="en-US" w:bidi="ar-SA"/>
        </w:rPr>
        <w:lastRenderedPageBreak/>
        <w:t xml:space="preserve">radiation types that </w:t>
      </w:r>
      <w:r w:rsidR="00F34A8A">
        <w:rPr>
          <w:rFonts w:eastAsia="Times New Roman" w:cs="Times New Roman"/>
          <w:kern w:val="0"/>
          <w:sz w:val="24"/>
          <w:lang w:val="en-US" w:eastAsia="en-US" w:bidi="ar-SA"/>
        </w:rPr>
        <w:t>minimize</w:t>
      </w:r>
      <w:r w:rsidR="002F0A08">
        <w:rPr>
          <w:rFonts w:eastAsia="Times New Roman" w:cs="Times New Roman"/>
          <w:kern w:val="0"/>
          <w:sz w:val="24"/>
          <w:lang w:val="en-US" w:eastAsia="en-US" w:bidi="ar-SA"/>
        </w:rPr>
        <w:t xml:space="preserve"> </w:t>
      </w:r>
      <w:r w:rsidR="00D400E0">
        <w:rPr>
          <w:rFonts w:eastAsia="Times New Roman" w:cs="Times New Roman"/>
          <w:kern w:val="0"/>
          <w:sz w:val="24"/>
          <w:lang w:val="en-US" w:eastAsia="en-US" w:bidi="ar-SA"/>
        </w:rPr>
        <w:t>biological impacts</w:t>
      </w:r>
      <w:r w:rsidR="00D400E0">
        <w:rPr>
          <w:rFonts w:eastAsia="Times New Roman" w:cs="Times New Roman"/>
          <w:kern w:val="0"/>
          <w:sz w:val="24"/>
          <w:lang w:val="en-US" w:eastAsia="en-US" w:bidi="ar-SA"/>
        </w:rPr>
        <w:t xml:space="preserve"> on </w:t>
      </w:r>
      <w:r w:rsidR="00D400E0">
        <w:rPr>
          <w:rFonts w:eastAsia="Times New Roman" w:cs="Times New Roman"/>
          <w:kern w:val="0"/>
          <w:sz w:val="24"/>
          <w:lang w:val="en-US" w:eastAsia="en-US" w:bidi="ar-SA"/>
        </w:rPr>
        <w:t>OXPHOS</w:t>
      </w:r>
      <w:r w:rsidR="002F0A08">
        <w:rPr>
          <w:rFonts w:eastAsia="Times New Roman" w:cs="Times New Roman"/>
          <w:kern w:val="0"/>
          <w:sz w:val="24"/>
          <w:lang w:val="en-US" w:eastAsia="en-US" w:bidi="ar-SA"/>
        </w:rPr>
        <w:t>.</w:t>
      </w:r>
      <w:r w:rsidR="00DB550E">
        <w:rPr>
          <w:rFonts w:eastAsia="Times New Roman" w:cs="Times New Roman"/>
          <w:kern w:val="0"/>
          <w:sz w:val="24"/>
          <w:lang w:val="en-US" w:eastAsia="en-US" w:bidi="ar-SA"/>
        </w:rPr>
        <w:t xml:space="preserve"> In this context, </w:t>
      </w:r>
      <w:r w:rsidR="00DB550E" w:rsidRPr="00D400E0">
        <w:rPr>
          <w:rFonts w:eastAsia="Times New Roman" w:cs="Times New Roman"/>
          <w:i/>
          <w:iCs/>
          <w:kern w:val="0"/>
          <w:sz w:val="24"/>
          <w:lang w:val="en-US" w:eastAsia="en-US" w:bidi="ar-SA"/>
        </w:rPr>
        <w:t>in vitro</w:t>
      </w:r>
      <w:r w:rsidR="00DB550E">
        <w:rPr>
          <w:rFonts w:eastAsia="Times New Roman" w:cs="Times New Roman"/>
          <w:kern w:val="0"/>
          <w:sz w:val="24"/>
          <w:lang w:val="en-US" w:eastAsia="en-US" w:bidi="ar-SA"/>
        </w:rPr>
        <w:t xml:space="preserve"> investigation of OXPHOS mechanisms may be productive as there are plenty of mol</w:t>
      </w:r>
      <w:r w:rsidR="00D400E0">
        <w:rPr>
          <w:rFonts w:eastAsia="Times New Roman" w:cs="Times New Roman"/>
          <w:kern w:val="0"/>
          <w:sz w:val="24"/>
          <w:lang w:val="en-US" w:eastAsia="en-US" w:bidi="ar-SA"/>
        </w:rPr>
        <w:t>e</w:t>
      </w:r>
      <w:r w:rsidR="00DB550E">
        <w:rPr>
          <w:rFonts w:eastAsia="Times New Roman" w:cs="Times New Roman"/>
          <w:kern w:val="0"/>
          <w:sz w:val="24"/>
          <w:lang w:val="en-US" w:eastAsia="en-US" w:bidi="ar-SA"/>
        </w:rPr>
        <w:t xml:space="preserve">cular tools available to investigate this </w:t>
      </w:r>
      <w:r w:rsidR="00D400E0">
        <w:rPr>
          <w:rFonts w:eastAsia="Times New Roman" w:cs="Times New Roman"/>
          <w:kern w:val="0"/>
          <w:sz w:val="24"/>
          <w:lang w:val="en-US" w:eastAsia="en-US" w:bidi="ar-SA"/>
        </w:rPr>
        <w:t xml:space="preserve">metabolic </w:t>
      </w:r>
      <w:r w:rsidR="00DB550E">
        <w:rPr>
          <w:rFonts w:eastAsia="Times New Roman" w:cs="Times New Roman"/>
          <w:kern w:val="0"/>
          <w:sz w:val="24"/>
          <w:lang w:val="en-US" w:eastAsia="en-US" w:bidi="ar-SA"/>
        </w:rPr>
        <w:t>pathway.</w:t>
      </w:r>
    </w:p>
    <w:p w14:paraId="4A6105FC" w14:textId="77777777" w:rsidR="003F7901" w:rsidRDefault="003F7901" w:rsidP="00A7221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</w:p>
    <w:p w14:paraId="072F5F67" w14:textId="77777777" w:rsidR="00EE39B4" w:rsidRDefault="00EE39B4" w:rsidP="00A7221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>MITIGATION</w:t>
      </w:r>
    </w:p>
    <w:p w14:paraId="3F6BB781" w14:textId="77777777" w:rsidR="00EE39B4" w:rsidRDefault="00A72210" w:rsidP="00A72210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Attenuating </w:t>
      </w:r>
      <w:r w:rsidR="00EE39B4">
        <w:rPr>
          <w:rFonts w:eastAsia="Times New Roman" w:cs="Times New Roman"/>
          <w:kern w:val="0"/>
          <w:sz w:val="24"/>
          <w:lang w:val="en-US" w:eastAsia="en-US" w:bidi="ar-SA"/>
        </w:rPr>
        <w:t xml:space="preserve">EMR health </w:t>
      </w:r>
      <w:r w:rsidR="00F56943">
        <w:rPr>
          <w:rFonts w:eastAsia="Times New Roman" w:cs="Times New Roman"/>
          <w:kern w:val="0"/>
          <w:sz w:val="24"/>
          <w:lang w:val="en-US" w:eastAsia="en-US" w:bidi="ar-SA"/>
        </w:rPr>
        <w:t>impacts</w:t>
      </w:r>
      <w:r w:rsidR="00EE39B4">
        <w:rPr>
          <w:rFonts w:eastAsia="Times New Roman" w:cs="Times New Roman"/>
          <w:kern w:val="0"/>
          <w:sz w:val="24"/>
          <w:lang w:val="en-US" w:eastAsia="en-US" w:bidi="ar-SA"/>
        </w:rPr>
        <w:t xml:space="preserve"> for ELF power systems or RF wireless should not slow down technological development</w:t>
      </w:r>
      <w:r w:rsidR="00F56943">
        <w:rPr>
          <w:rFonts w:eastAsia="Times New Roman" w:cs="Times New Roman"/>
          <w:kern w:val="0"/>
          <w:sz w:val="24"/>
          <w:lang w:val="en-US" w:eastAsia="en-US" w:bidi="ar-SA"/>
        </w:rPr>
        <w:t>s</w:t>
      </w:r>
      <w:r w:rsidR="00EE39B4">
        <w:rPr>
          <w:rFonts w:eastAsia="Times New Roman" w:cs="Times New Roman"/>
          <w:kern w:val="0"/>
          <w:sz w:val="24"/>
          <w:lang w:val="en-US" w:eastAsia="en-US" w:bidi="ar-SA"/>
        </w:rPr>
        <w:t xml:space="preserve">, but steer </w:t>
      </w:r>
      <w:r w:rsidR="00200B92">
        <w:rPr>
          <w:rFonts w:eastAsia="Times New Roman" w:cs="Times New Roman"/>
          <w:kern w:val="0"/>
          <w:sz w:val="24"/>
          <w:lang w:val="en-US" w:eastAsia="en-US" w:bidi="ar-SA"/>
        </w:rPr>
        <w:t xml:space="preserve">engineering towards </w:t>
      </w:r>
      <w:r w:rsidR="00EE39B4">
        <w:rPr>
          <w:rFonts w:eastAsia="Times New Roman" w:cs="Times New Roman"/>
          <w:kern w:val="0"/>
          <w:sz w:val="24"/>
          <w:lang w:val="en-US" w:eastAsia="en-US" w:bidi="ar-SA"/>
        </w:rPr>
        <w:t>m</w:t>
      </w:r>
      <w:r w:rsidR="00200B92">
        <w:rPr>
          <w:rFonts w:eastAsia="Times New Roman" w:cs="Times New Roman"/>
          <w:kern w:val="0"/>
          <w:sz w:val="24"/>
          <w:lang w:val="en-US" w:eastAsia="en-US" w:bidi="ar-SA"/>
        </w:rPr>
        <w:t>aximally</w:t>
      </w:r>
      <w:r w:rsidR="00EE39B4">
        <w:rPr>
          <w:rFonts w:eastAsia="Times New Roman" w:cs="Times New Roman"/>
          <w:kern w:val="0"/>
          <w:sz w:val="24"/>
          <w:lang w:val="en-US" w:eastAsia="en-US" w:bidi="ar-SA"/>
        </w:rPr>
        <w:t xml:space="preserve"> health-compatible direction</w:t>
      </w:r>
      <w:r w:rsidR="00200B92">
        <w:rPr>
          <w:rFonts w:eastAsia="Times New Roman" w:cs="Times New Roman"/>
          <w:kern w:val="0"/>
          <w:sz w:val="24"/>
          <w:lang w:val="en-US" w:eastAsia="en-US" w:bidi="ar-SA"/>
        </w:rPr>
        <w:t>s</w:t>
      </w:r>
      <w:r w:rsidR="00EE39B4">
        <w:rPr>
          <w:rFonts w:eastAsia="Times New Roman" w:cs="Times New Roman"/>
          <w:kern w:val="0"/>
          <w:sz w:val="24"/>
          <w:lang w:val="en-US" w:eastAsia="en-US" w:bidi="ar-SA"/>
        </w:rPr>
        <w:t>.</w:t>
      </w:r>
    </w:p>
    <w:p w14:paraId="226B9579" w14:textId="77777777" w:rsidR="00F56943" w:rsidRDefault="00F56943" w:rsidP="00F5694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Reductions in EMR exposures </w:t>
      </w:r>
      <w:r w:rsidR="00F34A8A">
        <w:rPr>
          <w:rFonts w:eastAsia="Times New Roman" w:cs="Times New Roman"/>
          <w:kern w:val="0"/>
          <w:sz w:val="24"/>
          <w:lang w:val="en-US" w:eastAsia="en-US" w:bidi="ar-SA"/>
        </w:rPr>
        <w:t xml:space="preserve">should be implemented 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 over time as quantifiable impacts on disease rates are documented. Because engineering is flexible, it is expected that the fiscal gains from disease rate reductions in terms of a </w:t>
      </w:r>
      <w:r w:rsidR="00642263">
        <w:rPr>
          <w:rFonts w:eastAsia="Times New Roman" w:cs="Times New Roman"/>
          <w:kern w:val="0"/>
          <w:sz w:val="24"/>
          <w:lang w:val="en-US" w:eastAsia="en-US" w:bidi="ar-SA"/>
        </w:rPr>
        <w:t>healthier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 population will be much higher than </w:t>
      </w:r>
      <w:r w:rsidR="003F7901">
        <w:rPr>
          <w:rFonts w:eastAsia="Times New Roman" w:cs="Times New Roman"/>
          <w:kern w:val="0"/>
          <w:sz w:val="24"/>
          <w:lang w:val="en-US" w:eastAsia="en-US" w:bidi="ar-SA"/>
        </w:rPr>
        <w:t>any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 long-term costs of exposure mitigation.</w:t>
      </w:r>
    </w:p>
    <w:p w14:paraId="145212FC" w14:textId="77777777" w:rsidR="00F56943" w:rsidRDefault="00F56943" w:rsidP="00F5694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</w:p>
    <w:p w14:paraId="2BAF00B9" w14:textId="77777777" w:rsidR="00C109FF" w:rsidRDefault="002F0A08" w:rsidP="00C109F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>STRATEGY</w:t>
      </w:r>
    </w:p>
    <w:p w14:paraId="73BB955E" w14:textId="5729C3BA" w:rsidR="00C109FF" w:rsidRDefault="000E5952" w:rsidP="00161DA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Industry (power and telecommunications) should be involved </w:t>
      </w:r>
      <w:r w:rsidR="00D400E0">
        <w:rPr>
          <w:rFonts w:eastAsia="Times New Roman" w:cs="Times New Roman"/>
          <w:kern w:val="0"/>
          <w:sz w:val="24"/>
          <w:lang w:val="en-US" w:eastAsia="en-US" w:bidi="ar-SA"/>
        </w:rPr>
        <w:t>in reducing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 </w:t>
      </w:r>
      <w:r w:rsidR="00200B92">
        <w:rPr>
          <w:rFonts w:eastAsia="Times New Roman" w:cs="Times New Roman"/>
          <w:kern w:val="0"/>
          <w:sz w:val="24"/>
          <w:lang w:val="en-US" w:eastAsia="en-US" w:bidi="ar-SA"/>
        </w:rPr>
        <w:t xml:space="preserve">the 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costs </w:t>
      </w:r>
      <w:r w:rsidR="00200B92">
        <w:rPr>
          <w:rFonts w:eastAsia="Times New Roman" w:cs="Times New Roman"/>
          <w:kern w:val="0"/>
          <w:sz w:val="24"/>
          <w:lang w:val="en-US" w:eastAsia="en-US" w:bidi="ar-SA"/>
        </w:rPr>
        <w:t xml:space="preserve">of health investigations 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primarily by contributing exposure data. For most industry audiences, the statistical deliberations of epidemiology may be a bridge too far. The skills of engineers could however be recruited to </w:t>
      </w:r>
      <w:r w:rsidR="00200B92">
        <w:rPr>
          <w:rFonts w:eastAsia="Times New Roman" w:cs="Times New Roman"/>
          <w:kern w:val="0"/>
          <w:sz w:val="24"/>
          <w:lang w:val="en-US" w:eastAsia="en-US" w:bidi="ar-SA"/>
        </w:rPr>
        <w:t xml:space="preserve">fully 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document the exposures considered to be </w:t>
      </w:r>
      <w:r w:rsidR="00200B92">
        <w:rPr>
          <w:rFonts w:eastAsia="Times New Roman" w:cs="Times New Roman"/>
          <w:kern w:val="0"/>
          <w:sz w:val="24"/>
          <w:lang w:val="en-US" w:eastAsia="en-US" w:bidi="ar-SA"/>
        </w:rPr>
        <w:t>central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 to </w:t>
      </w:r>
      <w:r w:rsidR="00200B92">
        <w:rPr>
          <w:rFonts w:eastAsia="Times New Roman" w:cs="Times New Roman"/>
          <w:kern w:val="0"/>
          <w:sz w:val="24"/>
          <w:lang w:val="en-US" w:eastAsia="en-US" w:bidi="ar-SA"/>
        </w:rPr>
        <w:t>the triggering of health impacts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. </w:t>
      </w:r>
    </w:p>
    <w:p w14:paraId="7E5E2105" w14:textId="77777777" w:rsidR="00C109FF" w:rsidRDefault="00504A09" w:rsidP="00161DA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  <w:r>
        <w:rPr>
          <w:rFonts w:eastAsia="Times New Roman" w:cs="Times New Roman"/>
          <w:kern w:val="0"/>
          <w:sz w:val="24"/>
          <w:lang w:val="en-US" w:eastAsia="en-US" w:bidi="ar-SA"/>
        </w:rPr>
        <w:t>As the e</w:t>
      </w:r>
      <w:r w:rsidR="00C109FF">
        <w:rPr>
          <w:rFonts w:eastAsia="Times New Roman" w:cs="Times New Roman"/>
          <w:kern w:val="0"/>
          <w:sz w:val="24"/>
          <w:lang w:val="en-US" w:eastAsia="en-US" w:bidi="ar-SA"/>
        </w:rPr>
        <w:t>ngineer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ing community </w:t>
      </w:r>
      <w:r w:rsidR="00C109FF">
        <w:rPr>
          <w:rFonts w:eastAsia="Times New Roman" w:cs="Times New Roman"/>
          <w:kern w:val="0"/>
          <w:sz w:val="24"/>
          <w:lang w:val="en-US" w:eastAsia="en-US" w:bidi="ar-SA"/>
        </w:rPr>
        <w:t>must be recruited</w:t>
      </w:r>
      <w:r>
        <w:rPr>
          <w:rFonts w:eastAsia="Times New Roman" w:cs="Times New Roman"/>
          <w:kern w:val="0"/>
          <w:sz w:val="24"/>
          <w:lang w:val="en-US" w:eastAsia="en-US" w:bidi="ar-SA"/>
        </w:rPr>
        <w:t>, s</w:t>
      </w:r>
      <w:r w:rsidR="00C109FF">
        <w:rPr>
          <w:rFonts w:eastAsia="Times New Roman" w:cs="Times New Roman"/>
          <w:kern w:val="0"/>
          <w:sz w:val="24"/>
          <w:lang w:val="en-US" w:eastAsia="en-US" w:bidi="ar-SA"/>
        </w:rPr>
        <w:t xml:space="preserve">cience arguments 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will be more palatable to this audience </w:t>
      </w:r>
      <w:r w:rsidR="00C109FF">
        <w:rPr>
          <w:rFonts w:eastAsia="Times New Roman" w:cs="Times New Roman"/>
          <w:kern w:val="0"/>
          <w:sz w:val="24"/>
          <w:lang w:val="en-US" w:eastAsia="en-US" w:bidi="ar-SA"/>
        </w:rPr>
        <w:t xml:space="preserve">than </w:t>
      </w:r>
      <w:r>
        <w:rPr>
          <w:rFonts w:eastAsia="Times New Roman" w:cs="Times New Roman"/>
          <w:kern w:val="0"/>
          <w:sz w:val="24"/>
          <w:lang w:val="en-US" w:eastAsia="en-US" w:bidi="ar-SA"/>
        </w:rPr>
        <w:t xml:space="preserve">the statistical deliberations of </w:t>
      </w:r>
      <w:r w:rsidR="00C109FF">
        <w:rPr>
          <w:rFonts w:eastAsia="Times New Roman" w:cs="Times New Roman"/>
          <w:kern w:val="0"/>
          <w:sz w:val="24"/>
          <w:lang w:val="en-US" w:eastAsia="en-US" w:bidi="ar-SA"/>
        </w:rPr>
        <w:t>epidemiology.</w:t>
      </w:r>
    </w:p>
    <w:p w14:paraId="7C25AFFA" w14:textId="77777777" w:rsidR="00DB550E" w:rsidRDefault="00DB550E" w:rsidP="00161DA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4"/>
          <w:lang w:val="en-US" w:eastAsia="en-US" w:bidi="ar-SA"/>
        </w:rPr>
      </w:pPr>
    </w:p>
    <w:p w14:paraId="4CDD1111" w14:textId="77777777" w:rsidR="00782F7A" w:rsidRPr="007173BC" w:rsidRDefault="00DB550E">
      <w:pPr>
        <w:rPr>
          <w:sz w:val="24"/>
          <w:lang w:val="en-US"/>
        </w:rPr>
      </w:pPr>
      <w:r>
        <w:rPr>
          <w:noProof/>
          <w:sz w:val="24"/>
          <w:lang w:val="en-US" w:eastAsia="en-US" w:bidi="ar-SA"/>
        </w:rPr>
        <w:drawing>
          <wp:inline distT="0" distB="0" distL="0" distR="0" wp14:anchorId="6906DF98" wp14:editId="47BCBCC9">
            <wp:extent cx="1617245" cy="888013"/>
            <wp:effectExtent l="19050" t="0" r="2005" b="0"/>
            <wp:docPr id="2" name="Picture 1" descr="Paul's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ul's Signatur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386" cy="817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48DC5" w14:textId="77777777" w:rsidR="007173BC" w:rsidRPr="007173BC" w:rsidRDefault="007173BC">
      <w:pPr>
        <w:rPr>
          <w:sz w:val="24"/>
          <w:lang w:val="en-US"/>
        </w:rPr>
      </w:pPr>
    </w:p>
    <w:p w14:paraId="761F9B2D" w14:textId="77777777" w:rsidR="00DF2CA2" w:rsidRDefault="00DF2CA2" w:rsidP="00DF2CA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7"/>
          <w:szCs w:val="27"/>
        </w:rPr>
      </w:pPr>
      <w:r>
        <w:rPr>
          <w:rFonts w:ascii="Comic Sans MS" w:hAnsi="Comic Sans MS" w:cs="Segoe UI"/>
          <w:color w:val="000000"/>
          <w:sz w:val="16"/>
          <w:szCs w:val="16"/>
        </w:rPr>
        <w:t>Sent Wired</w:t>
      </w:r>
      <w:r>
        <w:rPr>
          <w:rFonts w:ascii="Calibri" w:hAnsi="Calibri" w:cs="Calibri"/>
          <w:color w:val="000000"/>
          <w:sz w:val="26"/>
          <w:szCs w:val="26"/>
        </w:rPr>
        <w:t> </w:t>
      </w:r>
    </w:p>
    <w:p w14:paraId="3590FAAB" w14:textId="77777777" w:rsidR="00DF2CA2" w:rsidRDefault="00DF2CA2" w:rsidP="00DF2CA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7"/>
          <w:szCs w:val="27"/>
        </w:rPr>
      </w:pPr>
      <w:r>
        <w:rPr>
          <w:rFonts w:ascii="Comic Sans MS" w:hAnsi="Comic Sans MS" w:cs="Segoe UI"/>
          <w:color w:val="000000"/>
          <w:sz w:val="36"/>
          <w:szCs w:val="36"/>
        </w:rPr>
        <w:t>Paul Héroux</w:t>
      </w:r>
      <w:r>
        <w:rPr>
          <w:rFonts w:ascii="Comic Sans MS" w:hAnsi="Comic Sans MS" w:cs="Segoe UI"/>
          <w:b/>
          <w:bCs/>
          <w:color w:val="000000"/>
          <w:sz w:val="36"/>
          <w:szCs w:val="36"/>
        </w:rPr>
        <w:t>, </w:t>
      </w:r>
      <w:r>
        <w:rPr>
          <w:rFonts w:ascii="Comic Sans MS" w:hAnsi="Comic Sans MS" w:cs="Segoe UI"/>
          <w:color w:val="000000"/>
          <w:sz w:val="36"/>
          <w:szCs w:val="36"/>
        </w:rPr>
        <w:t>PhD</w:t>
      </w:r>
      <w:r>
        <w:rPr>
          <w:color w:val="000000"/>
        </w:rPr>
        <w:t>   montagnier88@protonmail.com </w:t>
      </w:r>
    </w:p>
    <w:p w14:paraId="15ED4C90" w14:textId="77777777" w:rsidR="00DF2CA2" w:rsidRDefault="00DF2CA2" w:rsidP="00DF2CA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7"/>
          <w:szCs w:val="27"/>
        </w:rPr>
      </w:pPr>
      <w:r>
        <w:rPr>
          <w:color w:val="000000"/>
        </w:rPr>
        <w:t>Professor of Toxicology and Health Effects of Electromagnetism </w:t>
      </w:r>
    </w:p>
    <w:p w14:paraId="4B9EED01" w14:textId="77777777" w:rsidR="00DF2CA2" w:rsidRDefault="00DF2CA2" w:rsidP="00DF2CA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7"/>
          <w:szCs w:val="27"/>
        </w:rPr>
      </w:pPr>
      <w:r>
        <w:rPr>
          <w:color w:val="000000"/>
        </w:rPr>
        <w:t>Vice-Chair, </w:t>
      </w:r>
      <w:hyperlink r:id="rId8" w:tooltip="https://icbe-emf.org/executive-board/" w:history="1">
        <w:r>
          <w:rPr>
            <w:rStyle w:val="Hyperlink"/>
            <w:rFonts w:eastAsiaTheme="majorEastAsia"/>
          </w:rPr>
          <w:t>International Commission on the Biological Effects of Electromagnetic Radiation</w:t>
        </w:r>
      </w:hyperlink>
    </w:p>
    <w:p w14:paraId="2AF71E26" w14:textId="77777777" w:rsidR="00DF2CA2" w:rsidRDefault="00DF2CA2" w:rsidP="00DF2CA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7"/>
          <w:szCs w:val="27"/>
        </w:rPr>
      </w:pPr>
      <w:r>
        <w:rPr>
          <w:color w:val="000000"/>
        </w:rPr>
        <w:t>InVitroPlus Laboratory, </w:t>
      </w:r>
      <w:r>
        <w:rPr>
          <w:color w:val="000000"/>
          <w:u w:val="single"/>
        </w:rPr>
        <w:t>Tel. (514) 767-5556</w:t>
      </w:r>
      <w:r>
        <w:rPr>
          <w:color w:val="000000"/>
        </w:rPr>
        <w:br/>
        <w:t>invitroplusnet.wordpress.com </w:t>
      </w:r>
      <w:r>
        <w:rPr>
          <w:rFonts w:ascii="Calibri" w:hAnsi="Calibri" w:cs="Calibri"/>
          <w:color w:val="000000"/>
          <w:sz w:val="26"/>
          <w:szCs w:val="26"/>
        </w:rPr>
        <w:t> </w:t>
      </w:r>
    </w:p>
    <w:p w14:paraId="654C6906" w14:textId="77777777" w:rsidR="00DF2CA2" w:rsidRDefault="00DF2CA2" w:rsidP="00DF2CA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7"/>
          <w:szCs w:val="27"/>
        </w:rPr>
      </w:pPr>
      <w:hyperlink r:id="rId9" w:tgtFrame="_blank" w:history="1">
        <w:r>
          <w:rPr>
            <w:rStyle w:val="Hyperlink"/>
            <w:rFonts w:ascii="Calibri" w:eastAsiaTheme="majorEastAsia" w:hAnsi="Calibri" w:cs="Calibri"/>
          </w:rPr>
          <w:t>https://doi.org/10.1016/j.heliyon.2025.e42267</w:t>
        </w:r>
      </w:hyperlink>
    </w:p>
    <w:p w14:paraId="3F66077C" w14:textId="77777777" w:rsidR="00DF2CA2" w:rsidRDefault="00DF2CA2" w:rsidP="00DF2CA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7"/>
          <w:szCs w:val="27"/>
        </w:rPr>
      </w:pPr>
      <w:hyperlink r:id="rId10" w:tgtFrame="_blank" w:history="1">
        <w:r>
          <w:rPr>
            <w:rStyle w:val="Hyperlink"/>
            <w:rFonts w:ascii="Calibri" w:eastAsiaTheme="majorEastAsia" w:hAnsi="Calibri" w:cs="Calibri"/>
          </w:rPr>
          <w:t>https://www.frontiersin.org/journals/public-health/articles/10.3389/fpubh.2025.1589021/full</w:t>
        </w:r>
      </w:hyperlink>
    </w:p>
    <w:p w14:paraId="483A0700" w14:textId="77777777" w:rsidR="00DF2CA2" w:rsidRDefault="00DF2CA2" w:rsidP="00DF2CA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7"/>
          <w:szCs w:val="27"/>
        </w:rPr>
      </w:pPr>
      <w:hyperlink r:id="rId11" w:tgtFrame="_blank" w:history="1">
        <w:r>
          <w:rPr>
            <w:rStyle w:val="Hyperlink"/>
            <w:rFonts w:ascii="Calibri" w:eastAsiaTheme="majorEastAsia" w:hAnsi="Calibri" w:cs="Calibri"/>
          </w:rPr>
          <w:t>https://invitroplusnet.wordpress.com/wp-content/uploads/2026/07/power-systems-telecommunications-and-diabetes.pdf</w:t>
        </w:r>
      </w:hyperlink>
      <w:r>
        <w:rPr>
          <w:rFonts w:ascii="Calibri" w:hAnsi="Calibri" w:cs="Calibri"/>
          <w:color w:val="000000"/>
          <w:sz w:val="26"/>
          <w:szCs w:val="26"/>
        </w:rPr>
        <w:br/>
      </w:r>
    </w:p>
    <w:p w14:paraId="752B5480" w14:textId="77777777" w:rsidR="00782F7A" w:rsidRPr="007173BC" w:rsidRDefault="00782F7A">
      <w:pPr>
        <w:rPr>
          <w:sz w:val="24"/>
          <w:lang w:val="en-US"/>
        </w:rPr>
      </w:pPr>
    </w:p>
    <w:sectPr w:rsidR="00782F7A" w:rsidRPr="007173BC" w:rsidSect="007023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ohit Devanagar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1046"/>
    <w:multiLevelType w:val="multilevel"/>
    <w:tmpl w:val="0B64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BB7C34"/>
    <w:multiLevelType w:val="multilevel"/>
    <w:tmpl w:val="4CD6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DD48AF"/>
    <w:multiLevelType w:val="multilevel"/>
    <w:tmpl w:val="4E90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AD6364"/>
    <w:multiLevelType w:val="multilevel"/>
    <w:tmpl w:val="9E2C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8032D7"/>
    <w:multiLevelType w:val="multilevel"/>
    <w:tmpl w:val="30CC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3739857">
    <w:abstractNumId w:val="3"/>
  </w:num>
  <w:num w:numId="2" w16cid:durableId="1600793610">
    <w:abstractNumId w:val="0"/>
  </w:num>
  <w:num w:numId="3" w16cid:durableId="318388363">
    <w:abstractNumId w:val="1"/>
  </w:num>
  <w:num w:numId="4" w16cid:durableId="188642282">
    <w:abstractNumId w:val="2"/>
  </w:num>
  <w:num w:numId="5" w16cid:durableId="1193010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1DAF"/>
    <w:rsid w:val="00014034"/>
    <w:rsid w:val="00056FDA"/>
    <w:rsid w:val="000804DA"/>
    <w:rsid w:val="00092AAB"/>
    <w:rsid w:val="0009311B"/>
    <w:rsid w:val="000E5952"/>
    <w:rsid w:val="001170E6"/>
    <w:rsid w:val="00161DAF"/>
    <w:rsid w:val="001E7D64"/>
    <w:rsid w:val="00200B92"/>
    <w:rsid w:val="002342D5"/>
    <w:rsid w:val="002D6380"/>
    <w:rsid w:val="002E52E5"/>
    <w:rsid w:val="002F0A08"/>
    <w:rsid w:val="003D1EA4"/>
    <w:rsid w:val="003F7901"/>
    <w:rsid w:val="00442498"/>
    <w:rsid w:val="0048076C"/>
    <w:rsid w:val="00483C28"/>
    <w:rsid w:val="00493E14"/>
    <w:rsid w:val="004F4B9D"/>
    <w:rsid w:val="00504A09"/>
    <w:rsid w:val="00514EFD"/>
    <w:rsid w:val="00545556"/>
    <w:rsid w:val="0055219D"/>
    <w:rsid w:val="00566B3F"/>
    <w:rsid w:val="005A17B7"/>
    <w:rsid w:val="005A4C83"/>
    <w:rsid w:val="005C4769"/>
    <w:rsid w:val="00642263"/>
    <w:rsid w:val="006E29D3"/>
    <w:rsid w:val="006E59B1"/>
    <w:rsid w:val="0070230A"/>
    <w:rsid w:val="0071475A"/>
    <w:rsid w:val="007173BC"/>
    <w:rsid w:val="00754B19"/>
    <w:rsid w:val="00782F7A"/>
    <w:rsid w:val="007E1A97"/>
    <w:rsid w:val="007F39B6"/>
    <w:rsid w:val="0081370D"/>
    <w:rsid w:val="00862908"/>
    <w:rsid w:val="008F1CCE"/>
    <w:rsid w:val="009B5D7B"/>
    <w:rsid w:val="00A72210"/>
    <w:rsid w:val="00A9704E"/>
    <w:rsid w:val="00AC3F9E"/>
    <w:rsid w:val="00AF1538"/>
    <w:rsid w:val="00AF3827"/>
    <w:rsid w:val="00B00099"/>
    <w:rsid w:val="00B40540"/>
    <w:rsid w:val="00B426F5"/>
    <w:rsid w:val="00BB0999"/>
    <w:rsid w:val="00BB7ED7"/>
    <w:rsid w:val="00BE1B2C"/>
    <w:rsid w:val="00C109FF"/>
    <w:rsid w:val="00C35B14"/>
    <w:rsid w:val="00C8580B"/>
    <w:rsid w:val="00D054A5"/>
    <w:rsid w:val="00D344CA"/>
    <w:rsid w:val="00D400E0"/>
    <w:rsid w:val="00D5454C"/>
    <w:rsid w:val="00D57DCD"/>
    <w:rsid w:val="00DA3343"/>
    <w:rsid w:val="00DB550E"/>
    <w:rsid w:val="00DF2CA2"/>
    <w:rsid w:val="00EC5E3D"/>
    <w:rsid w:val="00EE39B4"/>
    <w:rsid w:val="00EE78CE"/>
    <w:rsid w:val="00F205F2"/>
    <w:rsid w:val="00F34A8A"/>
    <w:rsid w:val="00F5277F"/>
    <w:rsid w:val="00F56943"/>
    <w:rsid w:val="00F7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5F0AE"/>
  <w15:docId w15:val="{84D5B47F-8AB4-47B4-990F-FB922CEC6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DAF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8"/>
      <w:szCs w:val="24"/>
      <w:lang w:val="en-CA"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05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5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5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5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B40540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B405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B40540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B4054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ption">
    <w:name w:val="caption"/>
    <w:basedOn w:val="Normal"/>
    <w:qFormat/>
    <w:rsid w:val="00B40540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40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4054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B40540"/>
    <w:rPr>
      <w:color w:val="808080"/>
    </w:rPr>
  </w:style>
  <w:style w:type="paragraph" w:styleId="NoSpacing">
    <w:name w:val="No Spacing"/>
    <w:basedOn w:val="Normal"/>
    <w:uiPriority w:val="1"/>
    <w:qFormat/>
    <w:rsid w:val="00B40540"/>
    <w:rPr>
      <w:rFonts w:cs="Times New Roman"/>
      <w:sz w:val="24"/>
    </w:rPr>
  </w:style>
  <w:style w:type="character" w:styleId="BookTitle">
    <w:name w:val="Book Title"/>
    <w:basedOn w:val="DefaultParagraphFont"/>
    <w:uiPriority w:val="33"/>
    <w:qFormat/>
    <w:rsid w:val="00B40540"/>
    <w:rPr>
      <w:b/>
      <w:bCs/>
      <w:smallCaps/>
      <w:spacing w:val="5"/>
    </w:rPr>
  </w:style>
  <w:style w:type="character" w:customStyle="1" w:styleId="mi">
    <w:name w:val="mi"/>
    <w:basedOn w:val="DefaultParagraphFont"/>
    <w:qFormat/>
    <w:rsid w:val="00B40540"/>
  </w:style>
  <w:style w:type="character" w:customStyle="1" w:styleId="mo">
    <w:name w:val="mo"/>
    <w:basedOn w:val="DefaultParagraphFont"/>
    <w:qFormat/>
    <w:rsid w:val="00B40540"/>
  </w:style>
  <w:style w:type="character" w:customStyle="1" w:styleId="a">
    <w:name w:val="_"/>
    <w:basedOn w:val="DefaultParagraphFont"/>
    <w:qFormat/>
    <w:rsid w:val="00B40540"/>
  </w:style>
  <w:style w:type="character" w:customStyle="1" w:styleId="ffa">
    <w:name w:val="ffa"/>
    <w:basedOn w:val="DefaultParagraphFont"/>
    <w:qFormat/>
    <w:rsid w:val="00B40540"/>
  </w:style>
  <w:style w:type="character" w:customStyle="1" w:styleId="ff7">
    <w:name w:val="ff7"/>
    <w:basedOn w:val="DefaultParagraphFont"/>
    <w:qFormat/>
    <w:rsid w:val="00B40540"/>
  </w:style>
  <w:style w:type="character" w:customStyle="1" w:styleId="ff12">
    <w:name w:val="ff12"/>
    <w:basedOn w:val="DefaultParagraphFont"/>
    <w:qFormat/>
    <w:rsid w:val="00B40540"/>
  </w:style>
  <w:style w:type="character" w:customStyle="1" w:styleId="ff8">
    <w:name w:val="ff8"/>
    <w:basedOn w:val="DefaultParagraphFont"/>
    <w:qFormat/>
    <w:rsid w:val="00B40540"/>
  </w:style>
  <w:style w:type="character" w:customStyle="1" w:styleId="cit">
    <w:name w:val="cit"/>
    <w:basedOn w:val="DefaultParagraphFont"/>
    <w:qFormat/>
    <w:rsid w:val="00B40540"/>
  </w:style>
  <w:style w:type="character" w:customStyle="1" w:styleId="citation-doi">
    <w:name w:val="citation-doi"/>
    <w:basedOn w:val="DefaultParagraphFont"/>
    <w:qFormat/>
    <w:rsid w:val="00B40540"/>
  </w:style>
  <w:style w:type="character" w:customStyle="1" w:styleId="authors-list-item">
    <w:name w:val="authors-list-item"/>
    <w:basedOn w:val="DefaultParagraphFont"/>
    <w:qFormat/>
    <w:rsid w:val="00B40540"/>
  </w:style>
  <w:style w:type="character" w:customStyle="1" w:styleId="author-sup-separator">
    <w:name w:val="author-sup-separator"/>
    <w:basedOn w:val="DefaultParagraphFont"/>
    <w:qFormat/>
    <w:rsid w:val="00B40540"/>
  </w:style>
  <w:style w:type="character" w:customStyle="1" w:styleId="comma">
    <w:name w:val="comma"/>
    <w:basedOn w:val="DefaultParagraphFont"/>
    <w:qFormat/>
    <w:rsid w:val="00B40540"/>
  </w:style>
  <w:style w:type="character" w:customStyle="1" w:styleId="Title1">
    <w:name w:val="Title1"/>
    <w:basedOn w:val="DefaultParagraphFont"/>
    <w:qFormat/>
    <w:rsid w:val="00B40540"/>
  </w:style>
  <w:style w:type="character" w:customStyle="1" w:styleId="identifier">
    <w:name w:val="identifier"/>
    <w:basedOn w:val="DefaultParagraphFont"/>
    <w:qFormat/>
    <w:rsid w:val="00B40540"/>
  </w:style>
  <w:style w:type="character" w:customStyle="1" w:styleId="id-label">
    <w:name w:val="id-label"/>
    <w:basedOn w:val="DefaultParagraphFont"/>
    <w:qFormat/>
    <w:rsid w:val="00B40540"/>
  </w:style>
  <w:style w:type="character" w:customStyle="1" w:styleId="cs1-lock-free">
    <w:name w:val="cs1-lock-free"/>
    <w:basedOn w:val="DefaultParagraphFont"/>
    <w:qFormat/>
    <w:rsid w:val="00B40540"/>
  </w:style>
  <w:style w:type="character" w:customStyle="1" w:styleId="al-author-name-more">
    <w:name w:val="al-author-name-more"/>
    <w:basedOn w:val="DefaultParagraphFont"/>
    <w:qFormat/>
    <w:rsid w:val="00B40540"/>
  </w:style>
  <w:style w:type="character" w:customStyle="1" w:styleId="hlfld-title">
    <w:name w:val="hlfld-title"/>
    <w:basedOn w:val="DefaultParagraphFont"/>
    <w:qFormat/>
    <w:rsid w:val="00B40540"/>
  </w:style>
  <w:style w:type="character" w:customStyle="1" w:styleId="hlfld-contribauthor">
    <w:name w:val="hlfld-contribauthor"/>
    <w:basedOn w:val="DefaultParagraphFont"/>
    <w:qFormat/>
    <w:rsid w:val="00B40540"/>
  </w:style>
  <w:style w:type="character" w:customStyle="1" w:styleId="comma-separator">
    <w:name w:val="comma-separator"/>
    <w:basedOn w:val="DefaultParagraphFont"/>
    <w:qFormat/>
    <w:rsid w:val="00B40540"/>
  </w:style>
  <w:style w:type="character" w:customStyle="1" w:styleId="cit-title">
    <w:name w:val="cit-title"/>
    <w:basedOn w:val="DefaultParagraphFont"/>
    <w:qFormat/>
    <w:rsid w:val="00B40540"/>
  </w:style>
  <w:style w:type="character" w:customStyle="1" w:styleId="cit-year-info">
    <w:name w:val="cit-year-info"/>
    <w:basedOn w:val="DefaultParagraphFont"/>
    <w:qFormat/>
    <w:rsid w:val="00B40540"/>
  </w:style>
  <w:style w:type="character" w:customStyle="1" w:styleId="cit-volume">
    <w:name w:val="cit-volume"/>
    <w:basedOn w:val="DefaultParagraphFont"/>
    <w:qFormat/>
    <w:rsid w:val="00B40540"/>
  </w:style>
  <w:style w:type="character" w:customStyle="1" w:styleId="cit-issue">
    <w:name w:val="cit-issue"/>
    <w:basedOn w:val="DefaultParagraphFont"/>
    <w:qFormat/>
    <w:rsid w:val="00B40540"/>
  </w:style>
  <w:style w:type="character" w:customStyle="1" w:styleId="cit-pagerange">
    <w:name w:val="cit-pagerange"/>
    <w:basedOn w:val="DefaultParagraphFont"/>
    <w:qFormat/>
    <w:rsid w:val="00B40540"/>
  </w:style>
  <w:style w:type="paragraph" w:customStyle="1" w:styleId="Heading">
    <w:name w:val="Heading"/>
    <w:basedOn w:val="Normal"/>
    <w:next w:val="BodyText"/>
    <w:qFormat/>
    <w:rsid w:val="00B40540"/>
    <w:pPr>
      <w:keepNext/>
      <w:spacing w:before="240" w:after="120"/>
    </w:pPr>
    <w:rPr>
      <w:rFonts w:ascii="Liberation Sans" w:eastAsia="Noto Sans CJK SC" w:hAnsi="Liberation Sans" w:cs="Lohit Devanagari"/>
    </w:rPr>
  </w:style>
  <w:style w:type="paragraph" w:styleId="BodyText">
    <w:name w:val="Body Text"/>
    <w:basedOn w:val="Normal"/>
    <w:link w:val="BodyTextChar"/>
    <w:uiPriority w:val="99"/>
    <w:semiHidden/>
    <w:unhideWhenUsed/>
    <w:rsid w:val="00B4054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40540"/>
    <w:rPr>
      <w:rFonts w:ascii="Times New Roman" w:hAnsi="Times New Roman"/>
      <w:color w:val="000000"/>
      <w:sz w:val="28"/>
      <w:szCs w:val="28"/>
    </w:rPr>
  </w:style>
  <w:style w:type="paragraph" w:customStyle="1" w:styleId="Index">
    <w:name w:val="Index"/>
    <w:basedOn w:val="Normal"/>
    <w:qFormat/>
    <w:rsid w:val="00B40540"/>
    <w:pPr>
      <w:suppressLineNumbers/>
    </w:pPr>
    <w:rPr>
      <w:rFonts w:cs="Lohit Devanagari"/>
    </w:rPr>
  </w:style>
  <w:style w:type="paragraph" w:customStyle="1" w:styleId="lt-chem-1444">
    <w:name w:val="lt-chem-1444"/>
    <w:basedOn w:val="Normal"/>
    <w:qFormat/>
    <w:rsid w:val="00B40540"/>
    <w:pPr>
      <w:spacing w:beforeAutospacing="1" w:afterAutospacing="1"/>
    </w:pPr>
    <w:rPr>
      <w:rFonts w:eastAsia="Times New Roman" w:cs="Times New Roman"/>
      <w:sz w:val="24"/>
    </w:rPr>
  </w:style>
  <w:style w:type="paragraph" w:customStyle="1" w:styleId="Default">
    <w:name w:val="Default"/>
    <w:qFormat/>
    <w:rsid w:val="00B40540"/>
    <w:rPr>
      <w:rFonts w:ascii="Calibri" w:hAnsi="Calibri"/>
      <w:color w:val="000000"/>
      <w:sz w:val="24"/>
      <w:szCs w:val="24"/>
    </w:rPr>
  </w:style>
  <w:style w:type="paragraph" w:customStyle="1" w:styleId="HeaderandFooter">
    <w:name w:val="Header and Footer"/>
    <w:basedOn w:val="Normal"/>
    <w:qFormat/>
    <w:rsid w:val="00B40540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161DAF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61D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F2CA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sz w:val="24"/>
      <w:lang w:val="en-US" w:eastAsia="en-US" w:bidi="ar-SA"/>
    </w:rPr>
  </w:style>
  <w:style w:type="paragraph" w:customStyle="1" w:styleId="muitypography-root">
    <w:name w:val="muitypography-root"/>
    <w:basedOn w:val="Normal"/>
    <w:rsid w:val="0086290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sz w:val="24"/>
      <w:lang w:val="en-US" w:eastAsia="en-US" w:bidi="ar-SA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62908"/>
    <w:pPr>
      <w:widowControl/>
      <w:suppressAutoHyphens w:val="0"/>
      <w:autoSpaceDN/>
      <w:textAlignment w:val="auto"/>
    </w:pPr>
    <w:rPr>
      <w:rFonts w:eastAsia="Times New Roman" w:cs="Times New Roman"/>
      <w:i/>
      <w:iCs/>
      <w:kern w:val="0"/>
      <w:sz w:val="24"/>
      <w:lang w:val="en-US" w:eastAsia="en-US" w:bidi="ar-SA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62908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sr-only">
    <w:name w:val="sr-only"/>
    <w:basedOn w:val="DefaultParagraphFont"/>
    <w:rsid w:val="00862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0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88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18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4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447953">
                                      <w:marLeft w:val="-296"/>
                                      <w:marRight w:val="-29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54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48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833184">
                                                  <w:marLeft w:val="-296"/>
                                                  <w:marRight w:val="-296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7228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1115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4959604">
                                                  <w:marLeft w:val="-296"/>
                                                  <w:marRight w:val="-296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731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154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5625295">
                                                  <w:marLeft w:val="-296"/>
                                                  <w:marRight w:val="-296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67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6215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5945108">
                                                  <w:marLeft w:val="-296"/>
                                                  <w:marRight w:val="-296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199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6767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68407208">
                                              <w:marLeft w:val="-296"/>
                                              <w:marRight w:val="-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393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7492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4920276">
                                              <w:marLeft w:val="-296"/>
                                              <w:marRight w:val="-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880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182428">
                                              <w:marLeft w:val="-296"/>
                                              <w:marRight w:val="-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459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303933">
                                              <w:marLeft w:val="-296"/>
                                              <w:marRight w:val="-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262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7770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4310601">
                                              <w:marLeft w:val="-296"/>
                                              <w:marRight w:val="-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91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593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41354034">
                                              <w:marLeft w:val="-296"/>
                                              <w:marRight w:val="-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5187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3795084">
                                              <w:marLeft w:val="-296"/>
                                              <w:marRight w:val="-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1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4990411">
                                              <w:marLeft w:val="-296"/>
                                              <w:marRight w:val="-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991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1529788">
                                              <w:marLeft w:val="-296"/>
                                              <w:marRight w:val="-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164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7756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2028999">
                                              <w:marLeft w:val="-296"/>
                                              <w:marRight w:val="-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77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575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1831790">
                                              <w:marLeft w:val="-296"/>
                                              <w:marRight w:val="-29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946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9162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66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01120">
                  <w:marLeft w:val="0"/>
                  <w:marRight w:val="0"/>
                  <w:marTop w:val="0"/>
                  <w:marBottom w:val="0"/>
                  <w:divBdr>
                    <w:top w:val="none" w:sz="0" w:space="5" w:color="BEE5EB"/>
                    <w:left w:val="none" w:sz="0" w:space="5" w:color="BEE5EB"/>
                    <w:bottom w:val="none" w:sz="0" w:space="5" w:color="BEE5EB"/>
                    <w:right w:val="none" w:sz="0" w:space="5" w:color="BEE5EB"/>
                  </w:divBdr>
                </w:div>
                <w:div w:id="750850311">
                  <w:marLeft w:val="-296"/>
                  <w:marRight w:val="-2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8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19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47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08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be-emf.org/executive-board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E:\IVP\ICBE-EMF.org" TargetMode="External"/><Relationship Id="rId11" Type="http://schemas.openxmlformats.org/officeDocument/2006/relationships/hyperlink" Target="https://invitroplusnet.wordpress.com/wp-content/uploads/2026/07/power-systems-telecommunications-and-diabetes.pdf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frontiersin.org/journals/public-health/articles/10.3389/fpubh.2025.1589021/fu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heliyon.2025.e422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paulh</dc:creator>
  <cp:lastModifiedBy>Paul Heroux, Dr</cp:lastModifiedBy>
  <cp:revision>7</cp:revision>
  <dcterms:created xsi:type="dcterms:W3CDTF">2026-10-19T23:58:00Z</dcterms:created>
  <dcterms:modified xsi:type="dcterms:W3CDTF">2026-10-20T21:12:00Z</dcterms:modified>
</cp:coreProperties>
</file>