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133" w:rsidRPr="000B2440" w:rsidRDefault="00796133">
      <w:pPr>
        <w:rPr>
          <w:b/>
          <w:bCs/>
          <w:sz w:val="28"/>
          <w:szCs w:val="28"/>
        </w:rPr>
      </w:pPr>
      <w:r w:rsidRPr="000B2440">
        <w:rPr>
          <w:b/>
          <w:bCs/>
          <w:sz w:val="28"/>
          <w:szCs w:val="28"/>
        </w:rPr>
        <w:t>To: U.S. Dpt. Health and Human ServicePreambles (HHS)</w:t>
      </w:r>
    </w:p>
    <w:p w:rsidR="00485B19" w:rsidRPr="000B2440" w:rsidRDefault="00796133">
      <w:pPr>
        <w:rPr>
          <w:b/>
          <w:bCs/>
          <w:sz w:val="28"/>
          <w:szCs w:val="28"/>
        </w:rPr>
      </w:pPr>
      <w:r w:rsidRPr="000B2440">
        <w:rPr>
          <w:b/>
          <w:bCs/>
          <w:sz w:val="28"/>
          <w:szCs w:val="28"/>
        </w:rPr>
        <w:t>From: International Commission for ElectroMagnetic Safety (ICEMS)</w:t>
      </w:r>
    </w:p>
    <w:p w:rsidR="00796133" w:rsidRPr="006F2D7D" w:rsidRDefault="006F2D7D">
      <w:pPr>
        <w:rPr>
          <w:b/>
          <w:bCs/>
          <w:sz w:val="28"/>
          <w:szCs w:val="28"/>
        </w:rPr>
      </w:pPr>
      <w:r w:rsidRPr="006F2D7D">
        <w:rPr>
          <w:b/>
          <w:bCs/>
          <w:sz w:val="28"/>
          <w:szCs w:val="28"/>
        </w:rPr>
        <w:t xml:space="preserve">INTRODUCTION </w:t>
      </w:r>
    </w:p>
    <w:p w:rsidR="00633B13" w:rsidRDefault="00633B13" w:rsidP="006F4315">
      <w:pPr>
        <w:jc w:val="both"/>
      </w:pPr>
      <w:r>
        <w:t>ICEMS is an independent organisation of scientists from several countries who are experts in the interactions between electromagnetic fields and living systems. Founded in 2003, it is headquartered in Venice (Viale Venezia 7) and maintains a website (icems.eu), where visitors can find, inter alia, references to the resolutions adopted by ICEMS and the monographs published following its international meetings: the first, edited by A. R. Liboff, in Electromagnetic Biology and Medicine, Vol. 25, Issue 4 (2006), and the second, edited by L. Giuliani and M. Soffritti, entitled Non-Thermal Effects and Mechanisms of Interaction Between Electromagnetic Fields (EMFs) and Living Matter, published in the European Journal of Oncology Library, Vol. 5 (2010), and available for free download from icems.eu.</w:t>
      </w:r>
    </w:p>
    <w:p w:rsidR="00633B13" w:rsidRDefault="00633B13" w:rsidP="006F4315">
      <w:pPr>
        <w:jc w:val="both"/>
      </w:pPr>
      <w:r>
        <w:t>ICEMS has been recognised by the Parliamentary Assembly of the Council of Europe (PACE) as an independent association composed of “top scientists and researchers”, capable of supporting the 47 member states in the risk assessment and risk management of non-ionising radiation, including the development of standards (PACE Resolution, 11 May 2011, Annex DOC 12608).</w:t>
      </w:r>
    </w:p>
    <w:p w:rsidR="00633B13" w:rsidRDefault="00633B13" w:rsidP="006F4315">
      <w:pPr>
        <w:jc w:val="both"/>
      </w:pPr>
      <w:r>
        <w:t>ICEMS is ready to collaborate with HHS to improve EMF risk management by providing the EMF/RF information requested by HHS, with reference to the first two questions set out in the press release of 21 September 2026.</w:t>
      </w:r>
    </w:p>
    <w:p w:rsidR="002C251B" w:rsidRDefault="00ED4540" w:rsidP="006F4315">
      <w:pPr>
        <w:jc w:val="both"/>
        <w:rPr>
          <w:b/>
          <w:bCs/>
          <w:sz w:val="28"/>
          <w:szCs w:val="28"/>
        </w:rPr>
      </w:pPr>
      <w:r w:rsidRPr="002C251B">
        <w:rPr>
          <w:b/>
          <w:bCs/>
          <w:sz w:val="28"/>
          <w:szCs w:val="28"/>
        </w:rPr>
        <w:t>HEALTH EXPERIENCES AND CLINICAL OBSERVATIONS</w:t>
      </w:r>
    </w:p>
    <w:p w:rsidR="002C251B" w:rsidRPr="00557D5F" w:rsidRDefault="00633B13" w:rsidP="006F4315">
      <w:pPr>
        <w:jc w:val="both"/>
      </w:pPr>
      <w:r>
        <w:t xml:space="preserve">Members of ICEMS have conducted in vivo studies on experimental animals as part of the Istituto B. Ramazzini research programme, funded, inter alia, by ISPESL (an institute under the Italian Ministry of Health) and the Emilia-Romagna Region, producing preliminary results (published in the second Monograph) and subsequently publishing their findings in the following paper: </w:t>
      </w:r>
      <w:r w:rsidR="00CF0F03" w:rsidRPr="00557D5F">
        <w:t xml:space="preserve">Soffritti M, Giuliani L. </w:t>
      </w:r>
      <w:r w:rsidR="00CF0F03" w:rsidRPr="00557D5F">
        <w:rPr>
          <w:i/>
          <w:iCs/>
        </w:rPr>
        <w:t>The carcinogenic potential of non-ionizing radiations: The cases of S-50 Hz MF and 1.8 GHz GSM radiofrequency radiation</w:t>
      </w:r>
      <w:r w:rsidR="00CF0F03" w:rsidRPr="00557D5F">
        <w:t xml:space="preserve">. Basic Clin Pharmacol Toxicol. 2019 Aug;125 Suppl 3:58-69. </w:t>
      </w:r>
      <w:r w:rsidR="008F5854" w:rsidRPr="00557D5F">
        <w:t>https://</w:t>
      </w:r>
      <w:r w:rsidR="00CF0F03" w:rsidRPr="00557D5F">
        <w:t>doi</w:t>
      </w:r>
      <w:r w:rsidR="008F5854" w:rsidRPr="00557D5F">
        <w:t>.org/</w:t>
      </w:r>
      <w:r w:rsidR="00CF0F03" w:rsidRPr="00557D5F">
        <w:t xml:space="preserve">10.1111/bcpt.13215. Epub 2019 Mar 25. PMID: 30801980. </w:t>
      </w:r>
      <w:r w:rsidR="002C251B" w:rsidRPr="00557D5F">
        <w:t xml:space="preserve">  </w:t>
      </w:r>
    </w:p>
    <w:p w:rsidR="00CF0F03" w:rsidRDefault="00CF0F03" w:rsidP="00CF0F03">
      <w:pPr>
        <w:jc w:val="both"/>
      </w:pPr>
      <w:r>
        <w:t xml:space="preserve">Quote from Abstract: “… </w:t>
      </w:r>
      <w:r w:rsidRPr="000445F5">
        <w:rPr>
          <w:i/>
          <w:iCs/>
        </w:rPr>
        <w:t xml:space="preserve">A second project of two large life-span carcinogenic bioassays was conducted on over 3000 Sprague Dawley </w:t>
      </w:r>
      <w:r w:rsidR="000445F5">
        <w:rPr>
          <w:i/>
          <w:iCs/>
        </w:rPr>
        <w:t xml:space="preserve"> </w:t>
      </w:r>
      <w:r w:rsidRPr="000445F5">
        <w:rPr>
          <w:i/>
          <w:iCs/>
        </w:rPr>
        <w:t xml:space="preserve">rats </w:t>
      </w:r>
      <w:r w:rsidR="000445F5" w:rsidRPr="000445F5">
        <w:t>[</w:t>
      </w:r>
      <w:r w:rsidR="000445F5">
        <w:t xml:space="preserve">the main project on 2450 rats, editors’ note] </w:t>
      </w:r>
      <w:r w:rsidRPr="000445F5">
        <w:rPr>
          <w:i/>
          <w:iCs/>
        </w:rPr>
        <w:t>exposed from prenatal life until natural death to 1.8 GHz GSM of mobile phone radio base station [in far field, editor</w:t>
      </w:r>
      <w:r w:rsidR="000445F5" w:rsidRPr="000445F5">
        <w:rPr>
          <w:i/>
          <w:iCs/>
        </w:rPr>
        <w:t>s</w:t>
      </w:r>
      <w:r w:rsidRPr="000445F5">
        <w:rPr>
          <w:i/>
          <w:iCs/>
        </w:rPr>
        <w:t>’ note], alone or combined with acute exposure to gamma radiation. Early results from the experiment on 1.8 GHz GSM alone show a statistically significant increase in the incidence of heart malignant schwannoma among males exposed at the highest dose</w:t>
      </w:r>
      <w:r>
        <w:t xml:space="preserve"> [50</w:t>
      </w:r>
      <w:r w:rsidR="000445F5">
        <w:t>.0</w:t>
      </w:r>
      <w:r>
        <w:t xml:space="preserve"> V/m, i. e.</w:t>
      </w:r>
      <w:r w:rsidR="00854BB8">
        <w:t xml:space="preserve"> 6.63 W/sq.m, to be compared with the U.S. exposure limits at 1.8 GHz, </w:t>
      </w:r>
      <w:r w:rsidR="000445F5">
        <w:t>58.34 V/m i.e. 9.0 W/sq.m,</w:t>
      </w:r>
      <w:r w:rsidR="000445F5" w:rsidRPr="000445F5">
        <w:rPr>
          <w:i/>
          <w:iCs/>
        </w:rPr>
        <w:t xml:space="preserve"> </w:t>
      </w:r>
      <w:r w:rsidR="00854BB8" w:rsidRPr="000445F5">
        <w:rPr>
          <w:i/>
          <w:iCs/>
        </w:rPr>
        <w:t>editor</w:t>
      </w:r>
      <w:r w:rsidR="000445F5">
        <w:rPr>
          <w:i/>
          <w:iCs/>
        </w:rPr>
        <w:t>s</w:t>
      </w:r>
      <w:r w:rsidR="00854BB8" w:rsidRPr="000445F5">
        <w:rPr>
          <w:i/>
          <w:iCs/>
        </w:rPr>
        <w:t>’ note</w:t>
      </w:r>
      <w:r w:rsidR="00854BB8">
        <w:t>]</w:t>
      </w:r>
      <w:r w:rsidR="00F6598D">
        <w:t xml:space="preserve"> </w:t>
      </w:r>
    </w:p>
    <w:p w:rsidR="009D2931" w:rsidRDefault="00633B13" w:rsidP="00CF0F03">
      <w:pPr>
        <w:jc w:val="both"/>
      </w:pPr>
      <w:r>
        <w:lastRenderedPageBreak/>
        <w:t>This result is complementary to and integrative of the result found in the main study of the U.S. National Toxicology Program (NTP), published in 2017 and assessed in 2018, summarised by the NTP itself as “clear evidence” of carcinogenicity for heart schwannomas in humans</w:t>
      </w:r>
      <w:r w:rsidR="009D2931">
        <w:t xml:space="preserve">. </w:t>
      </w:r>
      <w:r>
        <w:t>Integrative, since the NTP study was designed to study the effect of radiation in the “near field” – the condition of temporary exposure to mobile phones at distances between 0.5 and 1.5 cm – while the Ramazzini Institute study was designed for the “</w:t>
      </w:r>
      <w:r w:rsidRPr="00633B13">
        <w:rPr>
          <w:b/>
        </w:rPr>
        <w:t>far field</w:t>
      </w:r>
      <w:r>
        <w:t>” – the usual exposure condition of people within the range of irradiation from an RBS.</w:t>
      </w:r>
    </w:p>
    <w:p w:rsidR="00633B13" w:rsidRDefault="006F2D7D" w:rsidP="00633B13">
      <w:pPr>
        <w:jc w:val="both"/>
        <w:rPr>
          <w:b/>
          <w:bCs/>
          <w:sz w:val="28"/>
          <w:szCs w:val="28"/>
        </w:rPr>
      </w:pPr>
      <w:r w:rsidRPr="00253C71">
        <w:rPr>
          <w:b/>
          <w:bCs/>
          <w:sz w:val="28"/>
          <w:szCs w:val="28"/>
        </w:rPr>
        <w:t>EXPOSURE STANDARDS AND RISK ASSESSMENT</w:t>
      </w:r>
    </w:p>
    <w:p w:rsidR="00633B13" w:rsidRPr="00633B13" w:rsidRDefault="00633B13" w:rsidP="00633B13">
      <w:pPr>
        <w:jc w:val="both"/>
        <w:rPr>
          <w:b/>
          <w:bCs/>
          <w:sz w:val="28"/>
          <w:szCs w:val="28"/>
        </w:rPr>
      </w:pPr>
      <w:r w:rsidRPr="00633B13">
        <w:rPr>
          <w:rFonts w:cstheme="minorHAnsi"/>
        </w:rPr>
        <w:t>While several scientists, starting with A. Albhom and M. Feychting in Sweden (Epidemiology 2004), as well as the WHO’s Interphone Study (2012, Interphone.iarc.fr) and several lawsuits in several countries, assessed or respectively recognised (e.g. Italian Supreme Court, Judgment No. 17438/2012, available for free download from icems.eu) the causal nexus (or a high likelihood of a nexus) between people's exposure (in the near field) to mobile phones, mainly involving heavy ipsilateral head exposure, the assessment of global human exposure to SRBs (in the far field) does not establish a causal nexus with diagnoses of tumours. It could be related to the fact that global exposure rarely reaches values near the exposure limits established in the USA or the EU (although it has increased in recent decades, exposure has not yet reached the exposure limits of 9 W/sq.m at 1.8 GHz due to 2G or 4G services, and 10 W/sq.m at 2.1 GHz or higher for 3G, 4G and 5G services), while the partial exposure level of the head is frequently close to the exposure limit.</w:t>
      </w:r>
    </w:p>
    <w:p w:rsidR="00633B13" w:rsidRPr="00633B13" w:rsidRDefault="00633B13" w:rsidP="00633B13">
      <w:pPr>
        <w:jc w:val="both"/>
        <w:rPr>
          <w:rFonts w:cstheme="minorHAnsi"/>
        </w:rPr>
      </w:pPr>
      <w:r w:rsidRPr="00633B13">
        <w:rPr>
          <w:rFonts w:cstheme="minorHAnsi"/>
        </w:rPr>
        <w:t>It is worth remembering that the French authority ANSES suspended the sale of the Apple iPhone 12 in 2023, since ANSES measured a human partial exposure of 4.85 W/kg due to the mobile phone, compared with the current EU limit of 2.0 W/kg (EU Recommendation 1999/519/EC).</w:t>
      </w:r>
    </w:p>
    <w:p w:rsidR="00633B13" w:rsidRDefault="00633B13" w:rsidP="00633B13">
      <w:pPr>
        <w:jc w:val="both"/>
      </w:pPr>
      <w:r>
        <w:t>Such an example well illustrates the senseless decision of international standards organisations that provided States with regulations on people's electromagnetic exposures, which caused several cases of cancer – only those ascertained by a court in a lawsuit are known – for partial exposures, while no cancers due to global (whole-body) exposures have yet been ascertained</w:t>
      </w:r>
      <w:r w:rsidR="00253C71">
        <w:t>.</w:t>
      </w:r>
    </w:p>
    <w:p w:rsidR="00633B13" w:rsidRPr="00633B13" w:rsidRDefault="00633B13" w:rsidP="00633B13">
      <w:pPr>
        <w:jc w:val="both"/>
      </w:pPr>
      <w:r>
        <w:t>It is the consequence of the practice of international standards organisations (formerly ACGIH in the USA in the 1950s, then incorporated into IEEE) of deriving human exposure limits from the thermal threshold, which experiments on mouse behaviour from the middle of the last century indicated to be 4 W/kg, corresponding to human exposure to 100 W/sq.m (the threshold above which mice were no longer able to walk).</w:t>
      </w:r>
      <w:r w:rsidR="0009074A">
        <w:t xml:space="preserve"> </w:t>
      </w:r>
      <w:r>
        <w:t xml:space="preserve">From the thermal threshold, applying a safety factor equal to 0.02, the global exposure limit has been deduced. </w:t>
      </w:r>
      <w:r w:rsidR="0009074A">
        <w:t>B</w:t>
      </w:r>
      <w:r w:rsidRPr="00633B13">
        <w:t>ut the result could not be applied to partial exposure of the head.</w:t>
      </w:r>
      <w:r>
        <w:t xml:space="preserve"> Contrary to common sense, the safety factor for partial exposure of the head and trunk was established at 0.50, 25 times greater than the safety factor for global exposure.</w:t>
      </w:r>
    </w:p>
    <w:p w:rsidR="00633B13" w:rsidRDefault="00633B13" w:rsidP="00633B13">
      <w:pPr>
        <w:jc w:val="both"/>
      </w:pPr>
      <w:r>
        <w:t>The scheme was the same as that of Radioprotection of Ionizing Radiation (IR), but for IR the safety factor was 0.01 for global exposure and partial exposure of the head and heart, and 20 times greater for partial exposure of the arms and legs.</w:t>
      </w:r>
    </w:p>
    <w:p w:rsidR="00633B13" w:rsidRDefault="00633B13" w:rsidP="00633B13">
      <w:pPr>
        <w:jc w:val="both"/>
      </w:pPr>
      <w:r>
        <w:lastRenderedPageBreak/>
        <w:t>Safety factors for global and partial exposures to NIR were not determined according to science but according to industrial needs, as we can deduce by observing that the frameworks of restrictions on human exposure adopted by the USA and the EU diverge only in the restrictions on exposure of the head and heart: in the USA, the partial exposure limit is 1.6 W/kg (FCC OET Bulletin 65, May 1997), and in the EU it is 2.0 W/kg (Recommendation 1999/519/EC). Furthermore, the EU limit for partial exposure of the heart and head is averaged over 10 g of contiguous tissue, while the corresponding US limit has to be measured as an average over 1 gram of tissue. That “continuous” should make the difference, since otherwise it should be obvious that the US limit is more conservative.</w:t>
      </w:r>
    </w:p>
    <w:p w:rsidR="00D352B5" w:rsidRDefault="00633B13" w:rsidP="00253C71">
      <w:pPr>
        <w:jc w:val="both"/>
      </w:pPr>
      <w:r>
        <w:t>Having disregarded the IR scheme by modifying the exposure limits for partial exposure of the heart and head, it seems due to Nemesis that carcinogenicity has repeatedly affected the heads of patients (neuromas and brain tumours), as recognised in many lawsuits, including cases confirmed by Supreme Courts in some States. Meanwhile, in vivo experiments with sufficient statistical power, namely those conducted by the US NTP and the Ramazzini Institute, have revealed that the heart is another target of cancer, for which we have clear evidence according to the assessed US NTP study, in agreement with the results of the Ramazzini study</w:t>
      </w:r>
      <w:r w:rsidR="007B178A">
        <w:t>.</w:t>
      </w:r>
    </w:p>
    <w:p w:rsidR="00092E35" w:rsidRDefault="00633B13" w:rsidP="00253C71">
      <w:pPr>
        <w:jc w:val="both"/>
      </w:pPr>
      <w:r>
        <w:t>Based on the old postulate that the only interaction of RFs with living matter is the thermal effect – a postulate that ICEMS already called into question in its cited monograph (</w:t>
      </w:r>
      <w:hyperlink r:id="rId7" w:history="1">
        <w:r>
          <w:rPr>
            <w:rStyle w:val="Collegamentoipertestuale"/>
          </w:rPr>
          <w:t>https://icems.eu/papers.htm</w:t>
        </w:r>
      </w:hyperlink>
      <w:r>
        <w:t>) – criticism of such studies is not admissible. The most meaningless criticism, formulated by the FDA during the assessment of the US NTP in vivo study in 2018, is that such an in vivo experiment is based on an animal model that cannot be translated into a human model</w:t>
      </w:r>
      <w:r w:rsidR="00092E35">
        <w:t>.</w:t>
      </w:r>
    </w:p>
    <w:p w:rsidR="002F6268" w:rsidRDefault="0086656E" w:rsidP="00253C71">
      <w:pPr>
        <w:jc w:val="both"/>
      </w:pPr>
      <w:r>
        <w:t>It is the usual recourse to a double standard. The current framework of restrictions on human exposure to NIR is based on experiments regarding the behaviour of mice! In the studies of the US NTP and the Ramazzini Institute, mice were merely replaced by Sprague-Dawley rats, which are recognised as a benchmark for human carcinogenesis</w:t>
      </w:r>
      <w:r w:rsidR="007B5374">
        <w:t>.</w:t>
      </w:r>
      <w:r w:rsidR="00092E35">
        <w:t xml:space="preserve"> </w:t>
      </w:r>
    </w:p>
    <w:p w:rsidR="00092E35" w:rsidRDefault="0086656E" w:rsidP="00253C71">
      <w:pPr>
        <w:jc w:val="both"/>
      </w:pPr>
      <w:r>
        <w:t xml:space="preserve">Furthermore, such criticism does not imply that the non-thermal effect of NIR does not exist – as the U.S. FCC standard would imply and as was also stated by the WHO’s EMF Project (see </w:t>
      </w:r>
      <w:hyperlink r:id="rId8" w:history="1">
        <w:r>
          <w:rPr>
            <w:rStyle w:val="Collegamentoipertestuale"/>
          </w:rPr>
          <w:t>https://icems.eu</w:t>
        </w:r>
      </w:hyperlink>
      <w:r>
        <w:t>, Introduction), but never by IARC, the WHO’s agency for cancer research. At most, such criticism might lead to the conclusion that it has not been proven that non-thermal RF effects exist in humans, but this cannot be stated with reference to other kinds of animals and plants, suggesting that the worldwide use of wireless phones and terminals for data transfer constitutes a danger to the entire global ecosystem</w:t>
      </w:r>
      <w:r w:rsidR="00812C56">
        <w:t>.</w:t>
      </w:r>
    </w:p>
    <w:p w:rsidR="003522A0" w:rsidRDefault="003522A0" w:rsidP="001855D7">
      <w:pPr>
        <w:jc w:val="both"/>
      </w:pPr>
      <w:r>
        <w:t>The discovery of the carcinogenicity of EMF/RF, as clearly evidenced by the US NTP and the Ramazzini Institute, calls for the adoption of Interim Guidelines, replacing the outdated FCC framework of restrictions for RFs, set out in Bulletin OET 65, in force since May 1997, thirty years ago.</w:t>
      </w:r>
    </w:p>
    <w:p w:rsidR="003522A0" w:rsidRDefault="003522A0" w:rsidP="001855D7">
      <w:pPr>
        <w:jc w:val="both"/>
      </w:pPr>
      <w:r>
        <w:lastRenderedPageBreak/>
        <w:t>Meanwhile, the scientific community, with HHS potentially playing a role in leading such progress, will provide a new paradigm for deriving a framework of restrictions that includes the protection of people not only from the thermal effects but also from the non-thermal effects of NIR, starting from the discovery of the ion cyclotron resonance effect in aqueous solutions – such as cellular cytoplasm – within the framework of Quantum Electrodynamics of water, which in the last two decades has reached a sufficient degree of reliability and reproducibility to be widely accepted as an explanation for the non-thermal interaction of electric and magnetic fields with living organisms (</w:t>
      </w:r>
      <w:hyperlink r:id="rId9" w:history="1">
        <w:r>
          <w:rPr>
            <w:rStyle w:val="Collegamentoipertestuale"/>
          </w:rPr>
          <w:t>https://icems.eu/papers.htm</w:t>
        </w:r>
      </w:hyperlink>
      <w:r>
        <w:t>).</w:t>
      </w:r>
    </w:p>
    <w:p w:rsidR="003522A0" w:rsidRDefault="003522A0" w:rsidP="001855D7">
      <w:pPr>
        <w:jc w:val="both"/>
      </w:pPr>
      <w:r>
        <w:t xml:space="preserve">Such an interaction is also the basis for explaining the non-thermal effect of NIR, due to the coupling of low- and high-frequency radiation, combined in wireless communication networks, as previously highlighted by GJ Hyland in 2000 (Hyland GJ, Physics and biology of mobile telephony. The Lancet 356(9244):1833-1836, 2000 Nov 25, </w:t>
      </w:r>
      <w:hyperlink r:id="rId10" w:history="1">
        <w:r>
          <w:rPr>
            <w:rStyle w:val="Collegamentoipertestuale"/>
          </w:rPr>
          <w:t>https://www.thelancet.com/journals/lancet/article/PIIS0140673600032438/abstract</w:t>
        </w:r>
      </w:hyperlink>
      <w:r>
        <w:t xml:space="preserve">), confirming the biophysical mechanism of the so-called Adey’s window, also thanks to multiple pieces of evidence provided by the EPA in the 1980s (ex pluribus, see Blackman et al. Effects of ELF (1–120 Hz) and modulated (50 Hz) RF fields on the efflux of calcium ions from brain tissue in vitro. Bioelectromagnetics 6(1): 1-11, </w:t>
      </w:r>
      <w:hyperlink r:id="rId11" w:history="1">
        <w:r>
          <w:rPr>
            <w:rStyle w:val="Collegamentoipertestuale"/>
          </w:rPr>
          <w:t>https://doi.org/10.1002/bem.2250060102</w:t>
        </w:r>
      </w:hyperlink>
      <w:r>
        <w:t>).</w:t>
      </w:r>
    </w:p>
    <w:p w:rsidR="0036499F" w:rsidRPr="003522A0" w:rsidRDefault="003522A0" w:rsidP="0036499F">
      <w:pPr>
        <w:jc w:val="both"/>
      </w:pPr>
      <w:r>
        <w:t xml:space="preserve">Neither can we neglect the enhancement of Extremely Low Frequency (ELF) effects when they are carried by the amplitude modulation of an RF signal or are coupled with an HF ripple (Vignati M and L Giuliani. Radiofrequency exposure near High-voltage lines. Env Health Persp 105(S6):1569-1573, 1997 Dec). Nor can we overlook the mutually synergistic role of several carcinogenic pollutants and ELFs, as we may encounter (the previously cited Soffritti M and L Giuliani 2019, </w:t>
      </w:r>
      <w:hyperlink r:id="rId12" w:history="1">
        <w:r>
          <w:rPr>
            <w:rStyle w:val="Collegamentoipertestuale"/>
          </w:rPr>
          <w:t>https://doi.org/10.1111/bcpt.13215</w:t>
        </w:r>
      </w:hyperlink>
      <w:r>
        <w:t>). Such synergisms are surprisingly neglected in the standards adopted by the USA and the EU, IEEE Std. C95-2 (1992e) and ICNIRP Guidelines (1998, 2020), which do not allow people's exposure to ELFs and RFs to be summed in any way, providing two distinct sums for waves with frequencies up to 10 MHz and above 10 MHz, and not allowing their results to be summed as a measure of people's exposure to the risk due solely to electromagnetic fields</w:t>
      </w:r>
      <w:r w:rsidR="003E4688">
        <w:t>.</w:t>
      </w:r>
      <w:r w:rsidR="00096F4D">
        <w:t xml:space="preserve"> </w:t>
      </w:r>
      <w:r w:rsidR="00311EAE">
        <w:t xml:space="preserve"> </w:t>
      </w:r>
      <w:r w:rsidR="00715EBE">
        <w:t xml:space="preserve"> </w:t>
      </w:r>
      <w:r w:rsidR="00B22C70">
        <w:t xml:space="preserve"> </w:t>
      </w:r>
      <w:r w:rsidR="008D7A76">
        <w:t xml:space="preserve">  </w:t>
      </w:r>
    </w:p>
    <w:p w:rsidR="002B620E" w:rsidRPr="00E34ED7" w:rsidRDefault="00A3187E" w:rsidP="00253C71">
      <w:pPr>
        <w:jc w:val="both"/>
        <w:rPr>
          <w:b/>
          <w:bCs/>
          <w:sz w:val="28"/>
          <w:szCs w:val="28"/>
        </w:rPr>
      </w:pPr>
      <w:r w:rsidRPr="00E34ED7">
        <w:rPr>
          <w:b/>
          <w:bCs/>
          <w:sz w:val="28"/>
          <w:szCs w:val="28"/>
        </w:rPr>
        <w:t xml:space="preserve">Interim Guidelines </w:t>
      </w:r>
      <w:r w:rsidR="00624E1F" w:rsidRPr="00E34ED7">
        <w:rPr>
          <w:b/>
          <w:bCs/>
          <w:sz w:val="28"/>
          <w:szCs w:val="28"/>
        </w:rPr>
        <w:t>for people protection from Non Ionizing Radiation</w:t>
      </w:r>
      <w:r w:rsidR="003308BB" w:rsidRPr="00E34ED7">
        <w:rPr>
          <w:b/>
          <w:bCs/>
          <w:sz w:val="28"/>
          <w:szCs w:val="28"/>
        </w:rPr>
        <w:t xml:space="preserve"> </w:t>
      </w:r>
      <w:r w:rsidR="00C13C2B" w:rsidRPr="00E34ED7">
        <w:rPr>
          <w:b/>
          <w:bCs/>
          <w:sz w:val="28"/>
          <w:szCs w:val="28"/>
        </w:rPr>
        <w:t xml:space="preserve"> </w:t>
      </w:r>
      <w:r w:rsidR="00F27138" w:rsidRPr="00E34ED7">
        <w:rPr>
          <w:b/>
          <w:bCs/>
          <w:sz w:val="28"/>
          <w:szCs w:val="28"/>
        </w:rPr>
        <w:t xml:space="preserve"> </w:t>
      </w:r>
      <w:r w:rsidR="007323C3" w:rsidRPr="00E34ED7">
        <w:rPr>
          <w:b/>
          <w:bCs/>
          <w:sz w:val="28"/>
          <w:szCs w:val="28"/>
        </w:rPr>
        <w:t xml:space="preserve"> </w:t>
      </w:r>
      <w:r w:rsidR="00135311" w:rsidRPr="00E34ED7">
        <w:rPr>
          <w:b/>
          <w:bCs/>
          <w:sz w:val="28"/>
          <w:szCs w:val="28"/>
        </w:rPr>
        <w:t xml:space="preserve"> </w:t>
      </w:r>
      <w:r w:rsidR="002B620E" w:rsidRPr="00E34ED7">
        <w:rPr>
          <w:b/>
          <w:bCs/>
          <w:sz w:val="28"/>
          <w:szCs w:val="28"/>
        </w:rPr>
        <w:t xml:space="preserve">   </w:t>
      </w:r>
    </w:p>
    <w:p w:rsidR="003522A0" w:rsidRDefault="003522A0" w:rsidP="00253C71">
      <w:pPr>
        <w:jc w:val="both"/>
      </w:pPr>
      <w:r>
        <w:t>As interim guidelines or standards to be recognised by HHS or the FCC, as well as by the European Parliament, which was excluded from the decision on Recommendation 1999/519/EC because it was adopted only by the Council of the European Community, we recommend that the scheme derived from IR radioprotection be adopted, without tricks or pretences, assuming an updated and more accurate threshold, based on the symptomatic evidence of tumours in rats instead of failures in the behaviour of mice, as has been the case until now. Once such a threshold is established, for the interim adoption of the safety standard, a safety factor would be applied, valid for both people's global exposure and partial exposure of the head and trunk.</w:t>
      </w:r>
    </w:p>
    <w:p w:rsidR="003522A0" w:rsidRDefault="003522A0" w:rsidP="003522A0">
      <w:pPr>
        <w:jc w:val="both"/>
      </w:pPr>
      <w:r>
        <w:t xml:space="preserve">Interim Guidelines should follow the framework of the US standard, where the risk due to global (whole-body) exposure to RFs is expressed in terms of physical quantities measuring the electric </w:t>
      </w:r>
      <w:r>
        <w:lastRenderedPageBreak/>
        <w:t>field, magnetic field and Poynting vector (power density), rather than SAR (Specific Absorption Rate). Indeed, SAR is related only to the thermal effect of electromagnetic fields, and it is not adequate for measuring non-thermal effects due to repeated global exposures. Moreover, SAR is not properly a physical quantity, since it is not defined at the discontinuous interfaces of human organs and is not easily measurable, as a phantom with tissues similar to human tissues is needed to take into account the conductivity and density of all the tissues in a body. Therefore, citizens' or consumers' ability to independently assess the actual extent of the electromagnetic risk to which they are exposed is not guaranteed</w:t>
      </w:r>
      <w:r w:rsidR="00085C73">
        <w:t>.</w:t>
      </w:r>
    </w:p>
    <w:p w:rsidR="003522A0" w:rsidRDefault="004C4C9D" w:rsidP="003522A0">
      <w:pPr>
        <w:jc w:val="both"/>
      </w:pPr>
      <w:r>
        <w:t>C</w:t>
      </w:r>
      <w:r w:rsidR="003522A0">
        <w:t>ountries where SAR is not the reference quantity for measuring global</w:t>
      </w:r>
      <w:r>
        <w:t xml:space="preserve"> (whole-body)</w:t>
      </w:r>
      <w:r w:rsidR="003522A0">
        <w:t xml:space="preserve"> exposure to NIR are (with the year of adoption of their standards in brackets):</w:t>
      </w:r>
    </w:p>
    <w:p w:rsidR="003522A0" w:rsidRDefault="003522A0" w:rsidP="003522A0">
      <w:pPr>
        <w:jc w:val="both"/>
      </w:pPr>
      <w:r>
        <w:t>Russia (2003), China (2003), Italy (1998), Switzerland (1999), Luxembourg and seven other EU countries (after 2001; some of them withdrew such precautionary standards in the 2020s, adopting Recommendation 1999/519/EC).</w:t>
      </w:r>
    </w:p>
    <w:p w:rsidR="002B620E" w:rsidRDefault="003522A0" w:rsidP="00253C71">
      <w:pPr>
        <w:jc w:val="both"/>
      </w:pPr>
      <w:r>
        <w:t>We have to consider t</w:t>
      </w:r>
      <w:r w:rsidR="004C4C9D">
        <w:t>wo</w:t>
      </w:r>
      <w:r>
        <w:t xml:space="preserve"> different scenarios, each providing interim exposure limits:</w:t>
      </w:r>
    </w:p>
    <w:p w:rsidR="00AF3B20" w:rsidRPr="00B0659A" w:rsidRDefault="003A002C" w:rsidP="00724D05">
      <w:pPr>
        <w:pStyle w:val="Paragrafoelenco"/>
        <w:numPr>
          <w:ilvl w:val="0"/>
          <w:numId w:val="1"/>
        </w:numPr>
        <w:jc w:val="both"/>
        <w:rPr>
          <w:b/>
          <w:bCs/>
        </w:rPr>
      </w:pPr>
      <w:r w:rsidRPr="00B0659A">
        <w:rPr>
          <w:b/>
          <w:bCs/>
          <w:u w:val="single"/>
          <w:bdr w:val="single" w:sz="4" w:space="0" w:color="auto"/>
        </w:rPr>
        <w:t xml:space="preserve">Global </w:t>
      </w:r>
      <w:r w:rsidR="00DC6DDF" w:rsidRPr="00B0659A">
        <w:rPr>
          <w:b/>
          <w:bCs/>
          <w:u w:val="single"/>
          <w:bdr w:val="single" w:sz="4" w:space="0" w:color="auto"/>
        </w:rPr>
        <w:t xml:space="preserve">Exposures </w:t>
      </w:r>
      <w:r w:rsidR="00AF3B20" w:rsidRPr="00B0659A">
        <w:rPr>
          <w:b/>
          <w:bCs/>
          <w:u w:val="single"/>
          <w:bdr w:val="single" w:sz="4" w:space="0" w:color="auto"/>
        </w:rPr>
        <w:t xml:space="preserve">to RFs </w:t>
      </w:r>
      <w:r w:rsidR="00DC6DDF" w:rsidRPr="00B0659A">
        <w:rPr>
          <w:b/>
          <w:bCs/>
          <w:u w:val="single"/>
          <w:bdr w:val="single" w:sz="4" w:space="0" w:color="auto"/>
        </w:rPr>
        <w:t xml:space="preserve">in </w:t>
      </w:r>
      <w:r w:rsidR="002B1971" w:rsidRPr="00B0659A">
        <w:rPr>
          <w:b/>
          <w:bCs/>
          <w:u w:val="single"/>
          <w:bdr w:val="single" w:sz="4" w:space="0" w:color="auto"/>
        </w:rPr>
        <w:t xml:space="preserve">Far Field and in Propagation Zone </w:t>
      </w:r>
      <w:r w:rsidR="009A7F50" w:rsidRPr="00B0659A">
        <w:rPr>
          <w:b/>
          <w:bCs/>
          <w:u w:val="single"/>
          <w:bdr w:val="single" w:sz="4" w:space="0" w:color="auto"/>
        </w:rPr>
        <w:t>of</w:t>
      </w:r>
      <w:r w:rsidR="00DC6DDF" w:rsidRPr="00B0659A">
        <w:rPr>
          <w:b/>
          <w:bCs/>
          <w:u w:val="single"/>
          <w:bdr w:val="single" w:sz="4" w:space="0" w:color="auto"/>
        </w:rPr>
        <w:t xml:space="preserve"> Near Field </w:t>
      </w:r>
      <w:r w:rsidR="00692C06" w:rsidRPr="00B0659A">
        <w:rPr>
          <w:b/>
          <w:bCs/>
          <w:u w:val="single"/>
          <w:bdr w:val="single" w:sz="4" w:space="0" w:color="auto"/>
        </w:rPr>
        <w:t xml:space="preserve">to </w:t>
      </w:r>
      <w:r w:rsidR="002B620E" w:rsidRPr="00B0659A">
        <w:rPr>
          <w:b/>
          <w:bCs/>
          <w:u w:val="single"/>
          <w:bdr w:val="single" w:sz="4" w:space="0" w:color="auto"/>
        </w:rPr>
        <w:t>RFs</w:t>
      </w:r>
    </w:p>
    <w:p w:rsidR="00CE576E" w:rsidRPr="00AF3B20" w:rsidRDefault="00CE576E" w:rsidP="00CE576E">
      <w:pPr>
        <w:pStyle w:val="Paragrafoelenco"/>
        <w:jc w:val="both"/>
        <w:rPr>
          <w:b/>
          <w:bCs/>
        </w:rPr>
      </w:pPr>
    </w:p>
    <w:p w:rsidR="003707EC" w:rsidRDefault="003522A0" w:rsidP="003522A0">
      <w:pPr>
        <w:pStyle w:val="Paragrafoelenco"/>
        <w:numPr>
          <w:ilvl w:val="0"/>
          <w:numId w:val="2"/>
        </w:numPr>
        <w:jc w:val="both"/>
      </w:pPr>
      <w:r>
        <w:t>Risk threshold: between 25 and 50 V/m (i.e. 1.</w:t>
      </w:r>
      <w:r w:rsidR="00A304AF">
        <w:t>66</w:t>
      </w:r>
      <w:r>
        <w:t xml:space="preserve"> and </w:t>
      </w:r>
      <w:r w:rsidR="00A304AF">
        <w:t>6,62</w:t>
      </w:r>
      <w:r>
        <w:t xml:space="preserve"> W/sq.m), as has been ascertained in the large-scale carcinogenesis bioassay conducted by the Ramazzini Institute (Falcioni L et al. Report of final results regarding brain and heart tumors in Sprague-Dawley rats exposed from prenatal life until natural death to mobile phone radiofrequency field representative of a 1.8 GHz GSM base station environmental emission. Env Res 165:496-503, 2018, </w:t>
      </w:r>
      <w:hyperlink r:id="rId13" w:history="1">
        <w:r>
          <w:rPr>
            <w:rStyle w:val="Collegamentoipertestuale"/>
          </w:rPr>
          <w:t>https://doi.org/10.1016/j.envres.2018.01.037</w:t>
        </w:r>
      </w:hyperlink>
      <w:r>
        <w:t>).</w:t>
      </w:r>
    </w:p>
    <w:p w:rsidR="002A0A9A" w:rsidRDefault="003707EC" w:rsidP="003522A0">
      <w:pPr>
        <w:pStyle w:val="Paragrafoelenco"/>
        <w:numPr>
          <w:ilvl w:val="0"/>
          <w:numId w:val="2"/>
        </w:numPr>
        <w:jc w:val="both"/>
      </w:pPr>
      <w:r w:rsidRPr="009F3BC3">
        <w:rPr>
          <w:u w:val="single"/>
        </w:rPr>
        <w:t>Safety factor</w:t>
      </w:r>
      <w:r>
        <w:t>: 50</w:t>
      </w:r>
      <w:r w:rsidR="00BE0DD5">
        <w:t xml:space="preserve"> </w:t>
      </w:r>
      <w:r w:rsidR="003522A0">
        <w:t>- the justification is given in the previous paragraph.</w:t>
      </w:r>
    </w:p>
    <w:p w:rsidR="002C31C5" w:rsidRDefault="003522A0" w:rsidP="005E0713">
      <w:pPr>
        <w:pStyle w:val="Paragrafoelenco"/>
        <w:ind w:left="1440"/>
        <w:jc w:val="both"/>
      </w:pPr>
      <w:r>
        <w:t>Range of the computed exposure limits (EL), according to the assumptions:</w:t>
      </w:r>
    </w:p>
    <w:p w:rsidR="003522A0" w:rsidRDefault="003522A0" w:rsidP="005E0713">
      <w:pPr>
        <w:pStyle w:val="Paragrafoelenco"/>
        <w:ind w:left="1440"/>
        <w:jc w:val="both"/>
      </w:pPr>
    </w:p>
    <w:p w:rsidR="006461F8" w:rsidRDefault="00007C98" w:rsidP="002C31C5">
      <w:pPr>
        <w:pStyle w:val="Paragrafoelenco"/>
        <w:ind w:left="1440"/>
        <w:jc w:val="center"/>
      </w:pPr>
      <w:r w:rsidRPr="002C31C5">
        <w:rPr>
          <w:b/>
          <w:bCs/>
        </w:rPr>
        <w:t>3</w:t>
      </w:r>
      <w:r w:rsidR="00C24BEB" w:rsidRPr="002C31C5">
        <w:rPr>
          <w:b/>
          <w:bCs/>
        </w:rPr>
        <w:t>.</w:t>
      </w:r>
      <w:r w:rsidRPr="002C31C5">
        <w:rPr>
          <w:b/>
          <w:bCs/>
        </w:rPr>
        <w:t>5</w:t>
      </w:r>
      <w:r w:rsidR="00C24BEB" w:rsidRPr="002C31C5">
        <w:rPr>
          <w:b/>
          <w:bCs/>
        </w:rPr>
        <w:t xml:space="preserve"> V/m &lt; EL </w:t>
      </w:r>
      <w:r w:rsidR="009455AB" w:rsidRPr="002C31C5">
        <w:rPr>
          <w:b/>
          <w:bCs/>
        </w:rPr>
        <w:t xml:space="preserve">&lt; 7.1 V/m </w:t>
      </w:r>
      <w:r w:rsidR="00D0708E" w:rsidRPr="008E130C">
        <w:rPr>
          <w:b/>
          <w:bCs/>
        </w:rPr>
        <w:t>(</w:t>
      </w:r>
      <w:r w:rsidR="009455AB">
        <w:t xml:space="preserve">i.e. </w:t>
      </w:r>
      <w:r w:rsidR="00B13FB3" w:rsidRPr="002C31C5">
        <w:rPr>
          <w:b/>
          <w:bCs/>
        </w:rPr>
        <w:t>25.7</w:t>
      </w:r>
      <w:r w:rsidR="000A6194" w:rsidRPr="002C31C5">
        <w:rPr>
          <w:b/>
          <w:bCs/>
        </w:rPr>
        <w:t>mW/sq.m</w:t>
      </w:r>
      <w:r w:rsidR="003715A2" w:rsidRPr="002C31C5">
        <w:rPr>
          <w:b/>
          <w:bCs/>
        </w:rPr>
        <w:t xml:space="preserve"> </w:t>
      </w:r>
      <w:r w:rsidR="00B13FB3" w:rsidRPr="002C31C5">
        <w:rPr>
          <w:b/>
          <w:bCs/>
        </w:rPr>
        <w:t xml:space="preserve">&lt; EL &lt; </w:t>
      </w:r>
      <w:r w:rsidR="000A6194" w:rsidRPr="002C31C5">
        <w:rPr>
          <w:b/>
          <w:bCs/>
        </w:rPr>
        <w:t>51.5 mW/sq.m</w:t>
      </w:r>
      <w:r w:rsidR="00D0708E" w:rsidRPr="003B23BF">
        <w:rPr>
          <w:b/>
          <w:bCs/>
        </w:rPr>
        <w:t>)</w:t>
      </w:r>
      <w:r w:rsidR="003D5D7E">
        <w:tab/>
        <w:t>(1)</w:t>
      </w:r>
    </w:p>
    <w:p w:rsidR="00DC2A0E" w:rsidRDefault="003522A0" w:rsidP="003522A0">
      <w:pPr>
        <w:ind w:left="1416"/>
        <w:jc w:val="both"/>
      </w:pPr>
      <w:r>
        <w:t>This is the same range within which the exposure limits of Italy (6 V/m), Switzerland (5 V/m) and Poland (7 V/m) were established, respectively in 1998 (Regulation 1998/381, on the basis of the unanimous Parliamentary Resolution 1-00360/1999, based on Giuliani L. Proposta dell’ISPESL. Atti del XXX Congresso dell’AIRM, Cavalese 5–8 Feb 1998, Prov. Aut. Trento Copisteria Trento 1998), in 1999 (Federal Ordinance ORNI, 23 Dec 1999) and in 2002.</w:t>
      </w:r>
      <w:r w:rsidR="003C4DD9">
        <w:t>.</w:t>
      </w:r>
    </w:p>
    <w:p w:rsidR="00DF78AE" w:rsidRPr="009A00F6" w:rsidRDefault="00405FC4" w:rsidP="00DF78AE">
      <w:pPr>
        <w:pStyle w:val="Paragrafoelenco"/>
        <w:numPr>
          <w:ilvl w:val="0"/>
          <w:numId w:val="1"/>
        </w:numPr>
        <w:rPr>
          <w:b/>
          <w:bCs/>
          <w:u w:val="single"/>
        </w:rPr>
      </w:pPr>
      <w:r w:rsidRPr="009A00F6">
        <w:rPr>
          <w:b/>
          <w:bCs/>
          <w:u w:val="single"/>
        </w:rPr>
        <w:t xml:space="preserve">Partial Exposure </w:t>
      </w:r>
      <w:r w:rsidR="001A7234" w:rsidRPr="009A00F6">
        <w:rPr>
          <w:b/>
          <w:bCs/>
          <w:u w:val="single"/>
        </w:rPr>
        <w:t>of</w:t>
      </w:r>
      <w:r w:rsidRPr="009A00F6">
        <w:rPr>
          <w:b/>
          <w:bCs/>
          <w:u w:val="single"/>
        </w:rPr>
        <w:t xml:space="preserve"> </w:t>
      </w:r>
      <w:r w:rsidR="001A7234" w:rsidRPr="009A00F6">
        <w:rPr>
          <w:b/>
          <w:bCs/>
          <w:u w:val="single"/>
        </w:rPr>
        <w:t xml:space="preserve">head and trunk to </w:t>
      </w:r>
      <w:r w:rsidR="006F210F" w:rsidRPr="009A00F6">
        <w:rPr>
          <w:b/>
          <w:bCs/>
          <w:u w:val="single"/>
        </w:rPr>
        <w:t>RFs in Reaction Zone of Near Field</w:t>
      </w:r>
    </w:p>
    <w:p w:rsidR="003522A0" w:rsidRDefault="003522A0" w:rsidP="003522A0">
      <w:pPr>
        <w:pStyle w:val="Paragrafoelenco"/>
        <w:jc w:val="both"/>
      </w:pPr>
      <w:r>
        <w:t xml:space="preserve">Based on the studies conducted by the US National Toxicology Program (NTP) of the NIEHS (Ron Melnick et al. 2017, </w:t>
      </w:r>
      <w:r w:rsidR="004C4C9D">
        <w:t xml:space="preserve">also </w:t>
      </w:r>
      <w:r>
        <w:t>see Official NTP Technical Report 595</w:t>
      </w:r>
      <w:r w:rsidR="004C4C9D">
        <w:t>/596</w:t>
      </w:r>
      <w:r>
        <w:t>), the lowest Specific Absorption Rate (SAR) at which malignant cardiac tumours were observed in male Sprague-Dawley rats was 1.5 W/kg, expressed as whole-body averaged SAR</w:t>
      </w:r>
      <w:r w:rsidR="001E39B9" w:rsidRPr="001E39B9">
        <w:t>.</w:t>
      </w:r>
    </w:p>
    <w:p w:rsidR="003522A0" w:rsidRDefault="003522A0" w:rsidP="003522A0">
      <w:pPr>
        <w:pStyle w:val="Paragrafoelenco"/>
        <w:jc w:val="both"/>
      </w:pPr>
      <w:r>
        <w:lastRenderedPageBreak/>
        <w:t>However, it is important to distinguish between:</w:t>
      </w:r>
    </w:p>
    <w:p w:rsidR="003522A0" w:rsidRDefault="004C4C9D" w:rsidP="003522A0">
      <w:pPr>
        <w:pStyle w:val="Paragrafoelenco"/>
        <w:numPr>
          <w:ilvl w:val="1"/>
          <w:numId w:val="11"/>
        </w:numPr>
        <w:jc w:val="both"/>
      </w:pPr>
      <w:r>
        <w:t xml:space="preserve">1.5 </w:t>
      </w:r>
      <w:r w:rsidR="003522A0">
        <w:t>W/kg: The lowest experimental exposure level at which malignant cardiac schwannomas were observed.</w:t>
      </w:r>
    </w:p>
    <w:p w:rsidR="003522A0" w:rsidRDefault="003522A0" w:rsidP="003522A0">
      <w:pPr>
        <w:pStyle w:val="Paragrafoelenco"/>
        <w:numPr>
          <w:ilvl w:val="1"/>
          <w:numId w:val="11"/>
        </w:numPr>
        <w:jc w:val="both"/>
      </w:pPr>
      <w:r>
        <w:t>3 and 6 W/kg: The two higher exposure levels at which tumour incidence varied depending on the radiofrequency modulation.</w:t>
      </w:r>
    </w:p>
    <w:p w:rsidR="003522A0" w:rsidRDefault="003522A0" w:rsidP="003522A0">
      <w:pPr>
        <w:pStyle w:val="Paragrafoelenco"/>
        <w:numPr>
          <w:ilvl w:val="1"/>
          <w:numId w:val="11"/>
        </w:numPr>
        <w:jc w:val="both"/>
      </w:pPr>
      <w:r>
        <w:t>Biological threshold (cutoff): The study did not establish a definitive SAR threshold below which carcinogenic effects cannot occur.</w:t>
      </w:r>
    </w:p>
    <w:p w:rsidR="003522A0" w:rsidRDefault="003522A0" w:rsidP="001E39B9">
      <w:pPr>
        <w:pStyle w:val="Paragrafoelenco"/>
        <w:jc w:val="both"/>
      </w:pPr>
    </w:p>
    <w:p w:rsidR="001E39B9" w:rsidRPr="001E39B9" w:rsidRDefault="001E39B9" w:rsidP="001E39B9">
      <w:pPr>
        <w:pStyle w:val="Paragrafoelenco"/>
        <w:jc w:val="both"/>
      </w:pPr>
      <w:r w:rsidRPr="001E39B9">
        <w:t>An important technical clarification: the NTP studies used GSM and CDMA modulation</w:t>
      </w:r>
      <w:r w:rsidR="00952236">
        <w:t>.</w:t>
      </w:r>
    </w:p>
    <w:p w:rsidR="00774C0A" w:rsidRDefault="00774C0A" w:rsidP="001E39B9">
      <w:pPr>
        <w:pStyle w:val="Paragrafoelenco"/>
        <w:jc w:val="both"/>
        <w:rPr>
          <w:b/>
          <w:bCs/>
        </w:rPr>
      </w:pPr>
    </w:p>
    <w:p w:rsidR="001E39B9" w:rsidRPr="001E39B9" w:rsidRDefault="001E39B9" w:rsidP="001E39B9">
      <w:pPr>
        <w:pStyle w:val="Paragrafoelenco"/>
        <w:jc w:val="both"/>
        <w:rPr>
          <w:b/>
          <w:bCs/>
        </w:rPr>
      </w:pPr>
      <w:r w:rsidRPr="001E39B9">
        <w:rPr>
          <w:b/>
          <w:bCs/>
        </w:rPr>
        <w:t>NTP experimental results</w:t>
      </w:r>
    </w:p>
    <w:p w:rsidR="001E39B9" w:rsidRPr="001E39B9" w:rsidRDefault="001E39B9" w:rsidP="001E39B9">
      <w:pPr>
        <w:pStyle w:val="Paragrafoelenco"/>
        <w:jc w:val="both"/>
      </w:pPr>
      <w:r w:rsidRPr="001E39B9">
        <w:t>The following table summarizes the incidence of malignant cardiac schwannomas in male Sprague-Dawley rats, as reported in NTP Technical Report 595 (2018), Tables 20 and 47.</w:t>
      </w:r>
    </w:p>
    <w:tbl>
      <w:tblPr>
        <w:tblW w:w="0" w:type="auto"/>
        <w:tblCellSpacing w:w="15" w:type="dxa"/>
        <w:tblCellMar>
          <w:top w:w="15" w:type="dxa"/>
          <w:left w:w="15" w:type="dxa"/>
          <w:bottom w:w="15" w:type="dxa"/>
          <w:right w:w="15" w:type="dxa"/>
        </w:tblCellMar>
        <w:tblLook w:val="04A0"/>
      </w:tblPr>
      <w:tblGrid>
        <w:gridCol w:w="2485"/>
        <w:gridCol w:w="1913"/>
        <w:gridCol w:w="1928"/>
      </w:tblGrid>
      <w:tr w:rsidR="001E39B9" w:rsidRPr="001E39B9">
        <w:trPr>
          <w:tblCellSpacing w:w="15" w:type="dxa"/>
        </w:trPr>
        <w:tc>
          <w:tcPr>
            <w:tcW w:w="0" w:type="auto"/>
            <w:vAlign w:val="center"/>
            <w:hideMark/>
          </w:tcPr>
          <w:p w:rsidR="001E39B9" w:rsidRPr="001E39B9" w:rsidRDefault="001E39B9" w:rsidP="001E39B9">
            <w:pPr>
              <w:pStyle w:val="Paragrafoelenco"/>
              <w:jc w:val="both"/>
              <w:rPr>
                <w:b/>
                <w:bCs/>
              </w:rPr>
            </w:pPr>
            <w:r w:rsidRPr="001E39B9">
              <w:rPr>
                <w:b/>
                <w:bCs/>
              </w:rPr>
              <w:t>Whole-body SAR</w:t>
            </w:r>
          </w:p>
        </w:tc>
        <w:tc>
          <w:tcPr>
            <w:tcW w:w="0" w:type="auto"/>
            <w:vAlign w:val="center"/>
            <w:hideMark/>
          </w:tcPr>
          <w:p w:rsidR="001E39B9" w:rsidRPr="001E39B9" w:rsidRDefault="001E39B9" w:rsidP="001E39B9">
            <w:pPr>
              <w:pStyle w:val="Paragrafoelenco"/>
              <w:jc w:val="both"/>
              <w:rPr>
                <w:b/>
                <w:bCs/>
              </w:rPr>
            </w:pPr>
            <w:r w:rsidRPr="001E39B9">
              <w:rPr>
                <w:b/>
                <w:bCs/>
              </w:rPr>
              <w:t>GSM</w:t>
            </w:r>
          </w:p>
        </w:tc>
        <w:tc>
          <w:tcPr>
            <w:tcW w:w="0" w:type="auto"/>
            <w:vAlign w:val="center"/>
            <w:hideMark/>
          </w:tcPr>
          <w:p w:rsidR="001E39B9" w:rsidRPr="001E39B9" w:rsidRDefault="001E39B9" w:rsidP="001E39B9">
            <w:pPr>
              <w:pStyle w:val="Paragrafoelenco"/>
              <w:jc w:val="both"/>
              <w:rPr>
                <w:b/>
                <w:bCs/>
              </w:rPr>
            </w:pPr>
            <w:r w:rsidRPr="001E39B9">
              <w:rPr>
                <w:b/>
                <w:bCs/>
              </w:rPr>
              <w:t>CDMA</w:t>
            </w:r>
          </w:p>
        </w:tc>
      </w:tr>
      <w:tr w:rsidR="001E39B9" w:rsidRPr="001E39B9">
        <w:trPr>
          <w:tblCellSpacing w:w="15" w:type="dxa"/>
        </w:trPr>
        <w:tc>
          <w:tcPr>
            <w:tcW w:w="0" w:type="auto"/>
            <w:vAlign w:val="center"/>
            <w:hideMark/>
          </w:tcPr>
          <w:p w:rsidR="001E39B9" w:rsidRPr="001E39B9" w:rsidRDefault="001E39B9" w:rsidP="001E39B9">
            <w:pPr>
              <w:pStyle w:val="Paragrafoelenco"/>
              <w:jc w:val="both"/>
            </w:pPr>
            <w:r w:rsidRPr="001E39B9">
              <w:t>0 W/kg (controls)</w:t>
            </w:r>
          </w:p>
        </w:tc>
        <w:tc>
          <w:tcPr>
            <w:tcW w:w="0" w:type="auto"/>
            <w:vAlign w:val="center"/>
            <w:hideMark/>
          </w:tcPr>
          <w:p w:rsidR="001E39B9" w:rsidRPr="001E39B9" w:rsidRDefault="001E39B9" w:rsidP="001E39B9">
            <w:pPr>
              <w:pStyle w:val="Paragrafoelenco"/>
              <w:jc w:val="both"/>
            </w:pPr>
            <w:r w:rsidRPr="001E39B9">
              <w:t>0/90</w:t>
            </w:r>
          </w:p>
        </w:tc>
        <w:tc>
          <w:tcPr>
            <w:tcW w:w="0" w:type="auto"/>
            <w:vAlign w:val="center"/>
            <w:hideMark/>
          </w:tcPr>
          <w:p w:rsidR="001E39B9" w:rsidRPr="001E39B9" w:rsidRDefault="001E39B9" w:rsidP="001E39B9">
            <w:pPr>
              <w:pStyle w:val="Paragrafoelenco"/>
              <w:jc w:val="both"/>
            </w:pPr>
            <w:r w:rsidRPr="001E39B9">
              <w:t>0/90</w:t>
            </w:r>
          </w:p>
        </w:tc>
      </w:tr>
      <w:tr w:rsidR="001E39B9" w:rsidRPr="001E39B9">
        <w:trPr>
          <w:tblCellSpacing w:w="15" w:type="dxa"/>
        </w:trPr>
        <w:tc>
          <w:tcPr>
            <w:tcW w:w="0" w:type="auto"/>
            <w:vAlign w:val="center"/>
            <w:hideMark/>
          </w:tcPr>
          <w:p w:rsidR="001E39B9" w:rsidRPr="001E39B9" w:rsidRDefault="001E39B9" w:rsidP="001E39B9">
            <w:pPr>
              <w:pStyle w:val="Paragrafoelenco"/>
              <w:jc w:val="both"/>
            </w:pPr>
            <w:r w:rsidRPr="001E39B9">
              <w:t>1.5 W/kg</w:t>
            </w:r>
          </w:p>
        </w:tc>
        <w:tc>
          <w:tcPr>
            <w:tcW w:w="0" w:type="auto"/>
            <w:vAlign w:val="center"/>
            <w:hideMark/>
          </w:tcPr>
          <w:p w:rsidR="001E39B9" w:rsidRPr="001E39B9" w:rsidRDefault="001E39B9" w:rsidP="001E39B9">
            <w:pPr>
              <w:pStyle w:val="Paragrafoelenco"/>
              <w:jc w:val="both"/>
            </w:pPr>
            <w:r w:rsidRPr="001E39B9">
              <w:t>2/90 (2.2%)</w:t>
            </w:r>
          </w:p>
        </w:tc>
        <w:tc>
          <w:tcPr>
            <w:tcW w:w="0" w:type="auto"/>
            <w:vAlign w:val="center"/>
            <w:hideMark/>
          </w:tcPr>
          <w:p w:rsidR="001E39B9" w:rsidRPr="001E39B9" w:rsidRDefault="001E39B9" w:rsidP="001E39B9">
            <w:pPr>
              <w:pStyle w:val="Paragrafoelenco"/>
              <w:jc w:val="both"/>
            </w:pPr>
            <w:r w:rsidRPr="001E39B9">
              <w:t>2/90 (2.2%)</w:t>
            </w:r>
          </w:p>
        </w:tc>
      </w:tr>
      <w:tr w:rsidR="001E39B9" w:rsidRPr="001E39B9">
        <w:trPr>
          <w:tblCellSpacing w:w="15" w:type="dxa"/>
        </w:trPr>
        <w:tc>
          <w:tcPr>
            <w:tcW w:w="0" w:type="auto"/>
            <w:vAlign w:val="center"/>
            <w:hideMark/>
          </w:tcPr>
          <w:p w:rsidR="001E39B9" w:rsidRPr="001E39B9" w:rsidRDefault="001E39B9" w:rsidP="001E39B9">
            <w:pPr>
              <w:pStyle w:val="Paragrafoelenco"/>
              <w:jc w:val="both"/>
            </w:pPr>
            <w:r w:rsidRPr="001E39B9">
              <w:t>3 W/kg</w:t>
            </w:r>
          </w:p>
        </w:tc>
        <w:tc>
          <w:tcPr>
            <w:tcW w:w="0" w:type="auto"/>
            <w:vAlign w:val="center"/>
            <w:hideMark/>
          </w:tcPr>
          <w:p w:rsidR="001E39B9" w:rsidRPr="001E39B9" w:rsidRDefault="001E39B9" w:rsidP="001E39B9">
            <w:pPr>
              <w:pStyle w:val="Paragrafoelenco"/>
              <w:jc w:val="both"/>
            </w:pPr>
            <w:r w:rsidRPr="001E39B9">
              <w:t>1/90 (1.1%)</w:t>
            </w:r>
          </w:p>
        </w:tc>
        <w:tc>
          <w:tcPr>
            <w:tcW w:w="0" w:type="auto"/>
            <w:vAlign w:val="center"/>
            <w:hideMark/>
          </w:tcPr>
          <w:p w:rsidR="001E39B9" w:rsidRPr="001E39B9" w:rsidRDefault="001E39B9" w:rsidP="001E39B9">
            <w:pPr>
              <w:pStyle w:val="Paragrafoelenco"/>
              <w:jc w:val="both"/>
            </w:pPr>
            <w:r w:rsidRPr="001E39B9">
              <w:t>3/90 (3.3%)</w:t>
            </w:r>
          </w:p>
        </w:tc>
      </w:tr>
      <w:tr w:rsidR="001E39B9" w:rsidRPr="001E39B9">
        <w:trPr>
          <w:tblCellSpacing w:w="15" w:type="dxa"/>
        </w:trPr>
        <w:tc>
          <w:tcPr>
            <w:tcW w:w="0" w:type="auto"/>
            <w:vAlign w:val="center"/>
            <w:hideMark/>
          </w:tcPr>
          <w:p w:rsidR="001E39B9" w:rsidRPr="001E39B9" w:rsidRDefault="001E39B9" w:rsidP="001E39B9">
            <w:pPr>
              <w:pStyle w:val="Paragrafoelenco"/>
              <w:jc w:val="both"/>
            </w:pPr>
            <w:r w:rsidRPr="001E39B9">
              <w:t>6 W/kg</w:t>
            </w:r>
          </w:p>
        </w:tc>
        <w:tc>
          <w:tcPr>
            <w:tcW w:w="0" w:type="auto"/>
            <w:vAlign w:val="center"/>
            <w:hideMark/>
          </w:tcPr>
          <w:p w:rsidR="001E39B9" w:rsidRPr="001E39B9" w:rsidRDefault="001E39B9" w:rsidP="001E39B9">
            <w:pPr>
              <w:pStyle w:val="Paragrafoelenco"/>
              <w:jc w:val="both"/>
            </w:pPr>
            <w:r w:rsidRPr="001E39B9">
              <w:t>5/90 (5.6%)</w:t>
            </w:r>
          </w:p>
        </w:tc>
        <w:tc>
          <w:tcPr>
            <w:tcW w:w="0" w:type="auto"/>
            <w:vAlign w:val="center"/>
            <w:hideMark/>
          </w:tcPr>
          <w:p w:rsidR="001E39B9" w:rsidRPr="001E39B9" w:rsidRDefault="001E39B9" w:rsidP="001E39B9">
            <w:pPr>
              <w:pStyle w:val="Paragrafoelenco"/>
              <w:jc w:val="both"/>
            </w:pPr>
            <w:r w:rsidRPr="001E39B9">
              <w:t>6/90 (6.7%)</w:t>
            </w:r>
          </w:p>
        </w:tc>
      </w:tr>
    </w:tbl>
    <w:p w:rsidR="003522A0" w:rsidRDefault="003522A0" w:rsidP="001E39B9">
      <w:pPr>
        <w:pStyle w:val="Paragrafoelenco"/>
        <w:jc w:val="both"/>
        <w:rPr>
          <w:b/>
          <w:bCs/>
        </w:rPr>
      </w:pPr>
    </w:p>
    <w:p w:rsidR="001E39B9" w:rsidRPr="001E39B9" w:rsidRDefault="001E39B9" w:rsidP="001E39B9">
      <w:pPr>
        <w:pStyle w:val="Paragrafoelenco"/>
        <w:jc w:val="both"/>
        <w:rPr>
          <w:b/>
          <w:bCs/>
        </w:rPr>
      </w:pPr>
      <w:r w:rsidRPr="001E39B9">
        <w:rPr>
          <w:b/>
          <w:bCs/>
        </w:rPr>
        <w:t>Statistical interpretation</w:t>
      </w:r>
    </w:p>
    <w:p w:rsidR="001E39B9" w:rsidRPr="001E39B9" w:rsidRDefault="001E39B9" w:rsidP="001E39B9">
      <w:pPr>
        <w:pStyle w:val="Paragrafoelenco"/>
        <w:jc w:val="both"/>
      </w:pPr>
      <w:r w:rsidRPr="001E39B9">
        <w:t>The distinction between tumor occurrence and statistical significance is essential.</w:t>
      </w:r>
    </w:p>
    <w:p w:rsidR="001E39B9" w:rsidRPr="001E39B9" w:rsidRDefault="003522A0" w:rsidP="001E39B9">
      <w:pPr>
        <w:pStyle w:val="Paragrafoelenco"/>
        <w:jc w:val="both"/>
      </w:pPr>
      <w:r>
        <w:t>At 1.5 W/kg and at 3.0 W/kg, malignant cardiac schwannomas were observed, but the increase compared with the control group was not individually statistically significant</w:t>
      </w:r>
      <w:r w:rsidR="001E39B9" w:rsidRPr="001E39B9">
        <w:t>.</w:t>
      </w:r>
      <w:r>
        <w:t xml:space="preserve"> </w:t>
      </w:r>
      <w:r w:rsidR="001E39B9" w:rsidRPr="001E39B9">
        <w:t xml:space="preserve">However, the NTP reported a statistically significant positive exposure-response trend. For CDMA exposure, </w:t>
      </w:r>
      <w:r w:rsidR="001E39B9" w:rsidRPr="00A46D80">
        <w:rPr>
          <w:u w:val="single"/>
        </w:rPr>
        <w:t>the increase at 6 W/kg was also statistically significant compared with controls</w:t>
      </w:r>
      <w:r w:rsidR="001E39B9" w:rsidRPr="001E39B9">
        <w:t>.</w:t>
      </w:r>
    </w:p>
    <w:p w:rsidR="001E39B9" w:rsidRPr="001E39B9" w:rsidRDefault="001E39B9" w:rsidP="001E39B9">
      <w:pPr>
        <w:pStyle w:val="Paragrafoelenco"/>
        <w:jc w:val="both"/>
      </w:pPr>
      <w:r w:rsidRPr="001E39B9">
        <w:t>Based on the overall findings, the NTP classified the occurrence of malignant cardiac schwannomas in male rats as “clear evidence of carcinogenic activity.”</w:t>
      </w:r>
    </w:p>
    <w:p w:rsidR="00CC1BF8" w:rsidRDefault="00CC1BF8" w:rsidP="001E39B9">
      <w:pPr>
        <w:pStyle w:val="Paragrafoelenco"/>
        <w:jc w:val="both"/>
        <w:rPr>
          <w:b/>
          <w:bCs/>
        </w:rPr>
      </w:pPr>
    </w:p>
    <w:p w:rsidR="001E39B9" w:rsidRPr="001E39B9" w:rsidRDefault="001E39B9" w:rsidP="001E39B9">
      <w:pPr>
        <w:pStyle w:val="Paragrafoelenco"/>
        <w:jc w:val="both"/>
        <w:rPr>
          <w:b/>
          <w:bCs/>
        </w:rPr>
      </w:pPr>
      <w:r w:rsidRPr="001E39B9">
        <w:rPr>
          <w:b/>
          <w:bCs/>
        </w:rPr>
        <w:t>Conclusi</w:t>
      </w:r>
      <w:r w:rsidR="0054502B">
        <w:rPr>
          <w:b/>
          <w:bCs/>
        </w:rPr>
        <w:t>ve results</w:t>
      </w:r>
    </w:p>
    <w:p w:rsidR="001E39B9" w:rsidRDefault="003522A0" w:rsidP="001D0826">
      <w:pPr>
        <w:pStyle w:val="Paragrafoelenco"/>
        <w:jc w:val="both"/>
      </w:pPr>
      <w:r>
        <w:t>1.5 W/kg is the cutoff of the epidemiological study as the lowest experimentally tested whole-body averaged SAR associated with the occurrence of malignant cardiac schwannomas. However, 1.5 W/kg should not be interpreted as a scientifically established carcinogenicity threshold, nor as an exposure level at which a statistically significant increase in cardiac tumour incidence has been independently demonstrated</w:t>
      </w:r>
      <w:r w:rsidR="001E39B9" w:rsidRPr="001E39B9">
        <w:t>.</w:t>
      </w:r>
      <w:r>
        <w:t xml:space="preserve"> </w:t>
      </w:r>
      <w:r w:rsidR="00320C44">
        <w:t>As a consequence</w:t>
      </w:r>
      <w:r>
        <w:t>,</w:t>
      </w:r>
      <w:r w:rsidR="00320C44">
        <w:t xml:space="preserve"> t</w:t>
      </w:r>
      <w:r w:rsidR="001E39B9" w:rsidRPr="001E39B9">
        <w:t>he NTP findings do not establish a safe threshold below which carcinogenic effects are impossible.</w:t>
      </w:r>
    </w:p>
    <w:p w:rsidR="00FD0AB2" w:rsidRDefault="003522A0" w:rsidP="001D0826">
      <w:pPr>
        <w:pStyle w:val="Paragrafoelenco"/>
        <w:jc w:val="both"/>
        <w:rPr>
          <w:b/>
          <w:bCs/>
        </w:rPr>
      </w:pPr>
      <w:r>
        <w:lastRenderedPageBreak/>
        <w:t xml:space="preserve">However, 3.0 W/kg whole-body averaged SAR has been considered by the NTP as the LOAEL (Lowest Observed Adverse Effect Level), above which </w:t>
      </w:r>
      <w:r w:rsidRPr="00D74E6E">
        <w:rPr>
          <w:b/>
        </w:rPr>
        <w:t>carcinogenic effects are possible</w:t>
      </w:r>
      <w:r w:rsidR="008F7393">
        <w:rPr>
          <w:b/>
          <w:bCs/>
          <w:i/>
          <w:iCs/>
        </w:rPr>
        <w:t>.</w:t>
      </w:r>
      <w:r w:rsidR="002B7278" w:rsidRPr="00943E2A">
        <w:rPr>
          <w:b/>
          <w:bCs/>
          <w:i/>
          <w:iCs/>
        </w:rPr>
        <w:t xml:space="preserve"> </w:t>
      </w:r>
      <w:r w:rsidR="005E2A2F">
        <w:rPr>
          <w:b/>
          <w:bCs/>
        </w:rPr>
        <w:t xml:space="preserve"> </w:t>
      </w:r>
    </w:p>
    <w:p w:rsidR="009F3BC3" w:rsidRDefault="00D74E6E" w:rsidP="001743CC">
      <w:pPr>
        <w:pStyle w:val="Paragrafoelenco"/>
        <w:jc w:val="both"/>
      </w:pPr>
      <w:r>
        <w:t>Thus, we can deduce the range providing the exposure limit for the head and trunk, based on the best experimental results available today</w:t>
      </w:r>
      <w:r w:rsidR="00E70E6C">
        <w:t>:</w:t>
      </w:r>
    </w:p>
    <w:p w:rsidR="004633AF" w:rsidRDefault="004633AF" w:rsidP="001743CC">
      <w:pPr>
        <w:pStyle w:val="Paragrafoelenco"/>
        <w:jc w:val="both"/>
      </w:pPr>
    </w:p>
    <w:p w:rsidR="00E70E6C" w:rsidRDefault="008F17FB" w:rsidP="0091566C">
      <w:pPr>
        <w:pStyle w:val="Paragrafoelenco"/>
        <w:jc w:val="center"/>
        <w:rPr>
          <w:b/>
          <w:bCs/>
        </w:rPr>
      </w:pPr>
      <w:r w:rsidRPr="00152586">
        <w:rPr>
          <w:b/>
          <w:bCs/>
          <w:sz w:val="28"/>
          <w:szCs w:val="28"/>
        </w:rPr>
        <w:t xml:space="preserve">3.0 W/Kg </w:t>
      </w:r>
      <w:r w:rsidR="00901CE3" w:rsidRPr="00237E00">
        <w:rPr>
          <w:b/>
          <w:bCs/>
          <w:sz w:val="28"/>
          <w:szCs w:val="28"/>
        </w:rPr>
        <w:sym w:font="Symbol" w:char="F0A3"/>
      </w:r>
      <w:r>
        <w:rPr>
          <w:b/>
          <w:bCs/>
        </w:rPr>
        <w:t xml:space="preserve"> </w:t>
      </w:r>
      <w:r w:rsidRPr="00237E00">
        <w:rPr>
          <w:b/>
          <w:bCs/>
          <w:sz w:val="28"/>
          <w:szCs w:val="28"/>
        </w:rPr>
        <w:t xml:space="preserve">L </w:t>
      </w:r>
      <w:r w:rsidR="00901CE3" w:rsidRPr="00237E00">
        <w:rPr>
          <w:b/>
          <w:bCs/>
          <w:sz w:val="28"/>
          <w:szCs w:val="28"/>
        </w:rPr>
        <w:sym w:font="Symbol" w:char="F0A3"/>
      </w:r>
      <w:r w:rsidRPr="00237E00">
        <w:rPr>
          <w:b/>
          <w:bCs/>
          <w:sz w:val="28"/>
          <w:szCs w:val="28"/>
        </w:rPr>
        <w:t xml:space="preserve"> 6.0 W/Kg</w:t>
      </w:r>
      <w:r w:rsidR="004069D7">
        <w:rPr>
          <w:b/>
          <w:bCs/>
        </w:rPr>
        <w:tab/>
      </w:r>
      <w:r w:rsidR="004069D7">
        <w:rPr>
          <w:b/>
          <w:bCs/>
        </w:rPr>
        <w:tab/>
      </w:r>
      <w:r w:rsidR="004069D7" w:rsidRPr="004069D7">
        <w:t>(2)</w:t>
      </w:r>
    </w:p>
    <w:p w:rsidR="004633AF" w:rsidRDefault="004633AF" w:rsidP="00EC56B5">
      <w:pPr>
        <w:pStyle w:val="Paragrafoelenco"/>
        <w:jc w:val="both"/>
      </w:pPr>
    </w:p>
    <w:p w:rsidR="00EC56B5" w:rsidRPr="00EC56B5" w:rsidRDefault="00D74E6E" w:rsidP="00EC56B5">
      <w:pPr>
        <w:pStyle w:val="Paragrafoelenco"/>
        <w:jc w:val="both"/>
      </w:pPr>
      <w:r>
        <w:t>where L represents the SAR limit, not yet the exposure limit</w:t>
      </w:r>
      <w:r w:rsidR="00301A99">
        <w:t>.</w:t>
      </w:r>
    </w:p>
    <w:p w:rsidR="002560B1" w:rsidRDefault="00D74E6E" w:rsidP="002560B1">
      <w:pPr>
        <w:pStyle w:val="Paragrafoelenco"/>
      </w:pPr>
      <w:r>
        <w:t xml:space="preserve">To the upper range, we have to apply the usual redundancy factor in order to ensure the prudent use of mobile phones and data transmitters, since the head and trunk might not tolerate exposure levels higher than those of the whole body, as in </w:t>
      </w:r>
      <w:r w:rsidRPr="00D74E6E">
        <w:rPr>
          <w:b/>
        </w:rPr>
        <w:t>radioprotection against ionising radiation</w:t>
      </w:r>
      <w:r w:rsidR="002560B1">
        <w:t xml:space="preserve">. </w:t>
      </w:r>
    </w:p>
    <w:p w:rsidR="00520ACB" w:rsidRDefault="00520ACB" w:rsidP="00221BC4">
      <w:pPr>
        <w:pStyle w:val="Paragrafoelenco"/>
      </w:pPr>
    </w:p>
    <w:p w:rsidR="00143A17" w:rsidRPr="008D2B8F" w:rsidRDefault="00CD2DB7" w:rsidP="008D2B8F">
      <w:pPr>
        <w:pStyle w:val="Paragrafoelenco"/>
        <w:numPr>
          <w:ilvl w:val="0"/>
          <w:numId w:val="2"/>
        </w:numPr>
        <w:jc w:val="both"/>
      </w:pPr>
      <w:r w:rsidRPr="009F3BC3">
        <w:rPr>
          <w:u w:val="single"/>
        </w:rPr>
        <w:t>Safety factor</w:t>
      </w:r>
      <w:r>
        <w:t>: 50</w:t>
      </w:r>
    </w:p>
    <w:p w:rsidR="00E73D93" w:rsidRPr="002A0A9A" w:rsidRDefault="00E73D93" w:rsidP="00E73D93">
      <w:pPr>
        <w:pStyle w:val="Paragrafoelenco"/>
        <w:ind w:left="1440"/>
        <w:jc w:val="both"/>
      </w:pPr>
    </w:p>
    <w:p w:rsidR="00CD2DB7" w:rsidRDefault="003A7E2C" w:rsidP="00221BC4">
      <w:pPr>
        <w:pStyle w:val="Paragrafoelenco"/>
      </w:pPr>
      <w:r>
        <w:t>g</w:t>
      </w:r>
      <w:r w:rsidR="00E73D93">
        <w:t>etting the follow</w:t>
      </w:r>
      <w:r w:rsidR="009E4E76">
        <w:t>ing</w:t>
      </w:r>
      <w:r w:rsidR="00E73D93">
        <w:t xml:space="preserve"> </w:t>
      </w:r>
      <w:r w:rsidR="008E056C">
        <w:t>range:</w:t>
      </w:r>
      <w:r w:rsidR="00E73D93">
        <w:t xml:space="preserve"> </w:t>
      </w:r>
    </w:p>
    <w:p w:rsidR="004633AF" w:rsidRDefault="004633AF" w:rsidP="003A7E2C">
      <w:pPr>
        <w:pStyle w:val="Paragrafoelenco"/>
        <w:jc w:val="center"/>
        <w:rPr>
          <w:b/>
          <w:bCs/>
        </w:rPr>
      </w:pPr>
    </w:p>
    <w:p w:rsidR="003A7E2C" w:rsidRDefault="00CE7B5C" w:rsidP="003A7E2C">
      <w:pPr>
        <w:pStyle w:val="Paragrafoelenco"/>
        <w:jc w:val="center"/>
        <w:rPr>
          <w:b/>
          <w:bCs/>
        </w:rPr>
      </w:pPr>
      <w:r w:rsidRPr="00784E47">
        <w:rPr>
          <w:b/>
          <w:bCs/>
          <w:sz w:val="28"/>
          <w:szCs w:val="28"/>
        </w:rPr>
        <w:t>6</w:t>
      </w:r>
      <w:r w:rsidR="00750477" w:rsidRPr="00784E47">
        <w:rPr>
          <w:b/>
          <w:bCs/>
          <w:sz w:val="28"/>
          <w:szCs w:val="28"/>
        </w:rPr>
        <w:t>0</w:t>
      </w:r>
      <w:r w:rsidR="003A7E2C" w:rsidRPr="00784E47">
        <w:rPr>
          <w:b/>
          <w:bCs/>
          <w:sz w:val="28"/>
          <w:szCs w:val="28"/>
        </w:rPr>
        <w:t xml:space="preserve"> </w:t>
      </w:r>
      <w:r w:rsidR="00750477" w:rsidRPr="00784E47">
        <w:rPr>
          <w:b/>
          <w:bCs/>
          <w:sz w:val="28"/>
          <w:szCs w:val="28"/>
        </w:rPr>
        <w:t>m</w:t>
      </w:r>
      <w:r w:rsidR="003A7E2C" w:rsidRPr="00784E47">
        <w:rPr>
          <w:b/>
          <w:bCs/>
          <w:sz w:val="28"/>
          <w:szCs w:val="28"/>
        </w:rPr>
        <w:t xml:space="preserve">W/Kg &lt; L &lt; </w:t>
      </w:r>
      <w:r w:rsidR="00C55B23" w:rsidRPr="00784E47">
        <w:rPr>
          <w:b/>
          <w:bCs/>
          <w:sz w:val="28"/>
          <w:szCs w:val="28"/>
        </w:rPr>
        <w:t>12</w:t>
      </w:r>
      <w:r w:rsidR="00750477" w:rsidRPr="00784E47">
        <w:rPr>
          <w:b/>
          <w:bCs/>
          <w:sz w:val="28"/>
          <w:szCs w:val="28"/>
        </w:rPr>
        <w:t>0</w:t>
      </w:r>
      <w:r w:rsidR="003A7E2C" w:rsidRPr="00784E47">
        <w:rPr>
          <w:b/>
          <w:bCs/>
          <w:sz w:val="28"/>
          <w:szCs w:val="28"/>
        </w:rPr>
        <w:t xml:space="preserve"> </w:t>
      </w:r>
      <w:r w:rsidR="002C2E08" w:rsidRPr="00784E47">
        <w:rPr>
          <w:b/>
          <w:bCs/>
          <w:sz w:val="28"/>
          <w:szCs w:val="28"/>
        </w:rPr>
        <w:t>m</w:t>
      </w:r>
      <w:r w:rsidR="003A7E2C" w:rsidRPr="00784E47">
        <w:rPr>
          <w:b/>
          <w:bCs/>
          <w:sz w:val="28"/>
          <w:szCs w:val="28"/>
        </w:rPr>
        <w:t>W/Kg</w:t>
      </w:r>
      <w:r w:rsidR="00514F2F" w:rsidRPr="00784E47">
        <w:rPr>
          <w:b/>
          <w:bCs/>
          <w:sz w:val="28"/>
          <w:szCs w:val="28"/>
        </w:rPr>
        <w:tab/>
      </w:r>
      <w:r w:rsidR="00514F2F" w:rsidRPr="00784E47">
        <w:rPr>
          <w:b/>
          <w:bCs/>
          <w:sz w:val="28"/>
          <w:szCs w:val="28"/>
        </w:rPr>
        <w:tab/>
      </w:r>
      <w:r w:rsidR="00514F2F" w:rsidRPr="00784E47">
        <w:rPr>
          <w:sz w:val="28"/>
          <w:szCs w:val="28"/>
        </w:rPr>
        <w:t>(3)</w:t>
      </w:r>
      <w:r w:rsidR="00502258">
        <w:rPr>
          <w:b/>
          <w:bCs/>
        </w:rPr>
        <w:t>.</w:t>
      </w:r>
    </w:p>
    <w:p w:rsidR="004633AF" w:rsidRDefault="004633AF" w:rsidP="001F6576">
      <w:pPr>
        <w:pStyle w:val="Paragrafoelenco"/>
        <w:rPr>
          <w:b/>
          <w:bCs/>
        </w:rPr>
      </w:pPr>
    </w:p>
    <w:p w:rsidR="001F6576" w:rsidRPr="00631167" w:rsidRDefault="001F6576" w:rsidP="001F6576">
      <w:pPr>
        <w:pStyle w:val="Paragrafoelenco"/>
        <w:rPr>
          <w:b/>
          <w:bCs/>
          <w:sz w:val="28"/>
          <w:szCs w:val="28"/>
        </w:rPr>
      </w:pPr>
      <w:r w:rsidRPr="00631167">
        <w:rPr>
          <w:b/>
          <w:bCs/>
          <w:sz w:val="28"/>
          <w:szCs w:val="28"/>
        </w:rPr>
        <w:t>Relationship Between SAR and Far-Field Power</w:t>
      </w:r>
      <w:r w:rsidR="008D029B" w:rsidRPr="00631167">
        <w:rPr>
          <w:b/>
          <w:bCs/>
          <w:sz w:val="28"/>
          <w:szCs w:val="28"/>
        </w:rPr>
        <w:t xml:space="preserve"> </w:t>
      </w:r>
      <w:r w:rsidRPr="00631167">
        <w:rPr>
          <w:b/>
          <w:bCs/>
          <w:sz w:val="28"/>
          <w:szCs w:val="28"/>
        </w:rPr>
        <w:t>Density</w:t>
      </w:r>
    </w:p>
    <w:p w:rsidR="00A459AA" w:rsidRDefault="001F37BD" w:rsidP="001F6576">
      <w:pPr>
        <w:pStyle w:val="Paragrafoelenco"/>
      </w:pPr>
      <w:r>
        <w:t xml:space="preserve">Let us reduce to the exposure in </w:t>
      </w:r>
      <w:r w:rsidRPr="001F37BD">
        <w:rPr>
          <w:i/>
          <w:iCs/>
        </w:rPr>
        <w:t>far field</w:t>
      </w:r>
      <w:r w:rsidR="00BC2099">
        <w:rPr>
          <w:i/>
          <w:iCs/>
        </w:rPr>
        <w:t xml:space="preserve">, </w:t>
      </w:r>
      <w:r>
        <w:t xml:space="preserve"> </w:t>
      </w:r>
      <w:r w:rsidR="00BC2099">
        <w:t xml:space="preserve">since </w:t>
      </w:r>
      <w:r w:rsidR="005C22A4">
        <w:t xml:space="preserve">mobile terminals for telephony and data transfer </w:t>
      </w:r>
      <w:r w:rsidR="00A1107E">
        <w:t>generally use electric antenna inside</w:t>
      </w:r>
      <w:r w:rsidR="00C63904">
        <w:t>, thus we can substitute</w:t>
      </w:r>
      <w:r w:rsidR="005B61D1">
        <w:t xml:space="preserve"> in every </w:t>
      </w:r>
      <w:r w:rsidR="00A459AA">
        <w:t xml:space="preserve">involved </w:t>
      </w:r>
      <w:r w:rsidR="005B61D1">
        <w:t xml:space="preserve">algorithm </w:t>
      </w:r>
    </w:p>
    <w:p w:rsidR="001F37BD" w:rsidRDefault="00C47DD0" w:rsidP="00A459AA">
      <w:pPr>
        <w:pStyle w:val="Paragrafoelenco"/>
        <w:ind w:left="1428" w:firstLine="696"/>
      </w:pPr>
      <w:r w:rsidRPr="00EC0322">
        <w:t>P</w:t>
      </w:r>
      <w:r w:rsidR="00262A8C">
        <w:t>=E</w:t>
      </w:r>
      <w:r w:rsidR="00262A8C" w:rsidRPr="00262A8C">
        <w:rPr>
          <w:vertAlign w:val="superscript"/>
        </w:rPr>
        <w:t>2</w:t>
      </w:r>
      <w:r w:rsidR="00262A8C">
        <w:t>/Z, where Z is the impedance to propagation</w:t>
      </w:r>
      <w:r w:rsidR="00285A62">
        <w:t xml:space="preserve">, instead of </w:t>
      </w:r>
      <w:r w:rsidR="00285A62" w:rsidRPr="00EC0322">
        <w:rPr>
          <w:b/>
          <w:bCs/>
        </w:rPr>
        <w:t>P</w:t>
      </w:r>
      <w:r w:rsidR="00285A62" w:rsidRPr="00EC0322">
        <w:t>=</w:t>
      </w:r>
      <w:r w:rsidR="00285A62" w:rsidRPr="00EC0322">
        <w:rPr>
          <w:b/>
          <w:bCs/>
        </w:rPr>
        <w:t>E</w:t>
      </w:r>
      <w:r w:rsidR="00285A62" w:rsidRPr="00EC0322">
        <w:rPr>
          <w:rFonts w:cstheme="minorHAnsi"/>
          <w:b/>
          <w:bCs/>
        </w:rPr>
        <w:t>•</w:t>
      </w:r>
      <w:r w:rsidR="00285A62" w:rsidRPr="00EC0322">
        <w:rPr>
          <w:b/>
          <w:bCs/>
        </w:rPr>
        <w:t>H</w:t>
      </w:r>
      <w:r w:rsidR="00262A8C">
        <w:t xml:space="preserve"> </w:t>
      </w:r>
    </w:p>
    <w:p w:rsidR="00895F27" w:rsidRDefault="00136DEC" w:rsidP="00895F27">
      <w:r>
        <w:tab/>
        <w:t xml:space="preserve">(bold characters are used </w:t>
      </w:r>
      <w:r w:rsidR="009E654F">
        <w:t>meaning vectors</w:t>
      </w:r>
      <w:r w:rsidR="00605CAB">
        <w:t xml:space="preserve"> </w:t>
      </w:r>
      <w:r w:rsidR="0087552B">
        <w:t xml:space="preserve">or </w:t>
      </w:r>
      <w:r w:rsidR="00605CAB">
        <w:t>scalar product</w:t>
      </w:r>
      <w:r w:rsidR="009E654F">
        <w:t xml:space="preserve">, current font </w:t>
      </w:r>
      <w:r w:rsidR="00C2596A">
        <w:t>meaning scalars).</w:t>
      </w:r>
    </w:p>
    <w:p w:rsidR="00E717BC" w:rsidRDefault="00D74E6E" w:rsidP="00234E90">
      <w:pPr>
        <w:ind w:left="708"/>
      </w:pPr>
      <w:r>
        <w:t>Another approximation is introduced by reducing the analysis to the case of SAR in homogeneous tissues, with given conductivity and density</w:t>
      </w:r>
      <w:r w:rsidR="00165B21">
        <w:t>.</w:t>
      </w:r>
    </w:p>
    <w:p w:rsidR="00F46C48" w:rsidRPr="001F6576" w:rsidRDefault="00D74E6E" w:rsidP="001F6576">
      <w:pPr>
        <w:pStyle w:val="Paragrafoelenco"/>
      </w:pPr>
      <w:r>
        <w:t>In the far field, incident electromagnetic power density, P (W/m²), and specific absorption rate, SAR (W/kg), can be related by combining the plane-wave Poynting relation with the local energy-dissipation equation in tissue. Conversion between the two quantities depends on frequency, tissue properties, wave polarisation, and exposure geometry. It is useful to introduce the distinction between the power density of a wave touching a tissue, which will be indicated by the subscript “inc”, and that of the same wave outside the body. The same applies to other vectors or scalars. RMS indicates the average of a wave over a wavelength</w:t>
      </w:r>
      <w:r w:rsidR="009B7205">
        <w:t>.</w:t>
      </w:r>
    </w:p>
    <w:p w:rsidR="00CA3E79" w:rsidRDefault="00CA3E79" w:rsidP="0054202C">
      <w:pPr>
        <w:pStyle w:val="Paragrafoelenco"/>
        <w:rPr>
          <w:b/>
          <w:bCs/>
        </w:rPr>
      </w:pPr>
    </w:p>
    <w:p w:rsidR="0054202C" w:rsidRPr="0054202C" w:rsidRDefault="0054202C" w:rsidP="0054202C">
      <w:pPr>
        <w:pStyle w:val="Paragrafoelenco"/>
        <w:rPr>
          <w:b/>
          <w:bCs/>
        </w:rPr>
      </w:pPr>
      <w:r w:rsidRPr="0054202C">
        <w:rPr>
          <w:b/>
          <w:bCs/>
        </w:rPr>
        <w:t>1. Fundamental far-field relationship</w:t>
      </w:r>
    </w:p>
    <w:p w:rsidR="0054202C" w:rsidRPr="0095707F" w:rsidRDefault="0054202C" w:rsidP="0054202C">
      <w:pPr>
        <w:pStyle w:val="Paragrafoelenco"/>
      </w:pPr>
      <w:r w:rsidRPr="0095707F">
        <w:t>For a uniform plane wave in free space, the time-averaged incident power density is:</w:t>
      </w:r>
    </w:p>
    <w:p w:rsidR="0054202C" w:rsidRPr="0054202C" w:rsidRDefault="00F46C48" w:rsidP="000D7380">
      <w:pPr>
        <w:pStyle w:val="Paragrafoelenco"/>
        <w:jc w:val="center"/>
        <w:rPr>
          <w:b/>
          <w:bCs/>
        </w:rPr>
      </w:pPr>
      <w:r w:rsidRPr="00234052">
        <w:lastRenderedPageBreak/>
        <w:t>P</w:t>
      </w:r>
      <w:r w:rsidR="0054202C" w:rsidRPr="00234052">
        <w:rPr>
          <w:vertAlign w:val="subscript"/>
        </w:rPr>
        <w:t>inc</w:t>
      </w:r>
      <w:r w:rsidR="0054202C" w:rsidRPr="00234052">
        <w:t xml:space="preserve"> = E</w:t>
      </w:r>
      <w:r w:rsidR="0054202C" w:rsidRPr="00234052">
        <w:rPr>
          <w:vertAlign w:val="subscript"/>
        </w:rPr>
        <w:t>inc,RMS</w:t>
      </w:r>
      <w:r w:rsidR="0054202C" w:rsidRPr="00234052">
        <w:t>² / Z₀</w:t>
      </w:r>
      <w:r w:rsidR="00797993">
        <w:rPr>
          <w:b/>
          <w:bCs/>
        </w:rPr>
        <w:tab/>
      </w:r>
      <w:r w:rsidR="009962E6">
        <w:rPr>
          <w:b/>
          <w:bCs/>
        </w:rPr>
        <w:tab/>
      </w:r>
      <w:r w:rsidR="00797993" w:rsidRPr="009962E6">
        <w:t>(4)</w:t>
      </w:r>
    </w:p>
    <w:p w:rsidR="0054202C" w:rsidRPr="00C47ECC" w:rsidRDefault="0054202C" w:rsidP="0054202C">
      <w:pPr>
        <w:pStyle w:val="Paragrafoelenco"/>
      </w:pPr>
      <w:r w:rsidRPr="00C47ECC">
        <w:t>Here E</w:t>
      </w:r>
      <w:r w:rsidRPr="00C47ECC">
        <w:rPr>
          <w:vertAlign w:val="subscript"/>
        </w:rPr>
        <w:t>inc,RMS</w:t>
      </w:r>
      <w:r w:rsidRPr="00C47ECC">
        <w:t xml:space="preserve"> is the R</w:t>
      </w:r>
      <w:r w:rsidR="00334830" w:rsidRPr="00C47ECC">
        <w:t xml:space="preserve">oot </w:t>
      </w:r>
      <w:r w:rsidRPr="00C47ECC">
        <w:t>M</w:t>
      </w:r>
      <w:r w:rsidR="00334830" w:rsidRPr="00C47ECC">
        <w:t xml:space="preserve">ean </w:t>
      </w:r>
      <w:r w:rsidRPr="00C47ECC">
        <w:t>S</w:t>
      </w:r>
      <w:r w:rsidR="00334830" w:rsidRPr="00C47ECC">
        <w:t>quare of the</w:t>
      </w:r>
      <w:r w:rsidRPr="00C47ECC">
        <w:t xml:space="preserve"> incident electric-field amplitude (V/m), and Z₀ ≈ 376.73 Ω is the free-space</w:t>
      </w:r>
      <w:r w:rsidR="001008EB" w:rsidRPr="00C47ECC">
        <w:t xml:space="preserve"> </w:t>
      </w:r>
      <w:r w:rsidRPr="00C47ECC">
        <w:t>wave impedance.</w:t>
      </w:r>
    </w:p>
    <w:p w:rsidR="0054202C" w:rsidRPr="00C47ECC" w:rsidRDefault="0054202C" w:rsidP="0054202C">
      <w:pPr>
        <w:pStyle w:val="Paragrafoelenco"/>
      </w:pPr>
      <w:r w:rsidRPr="00C47ECC">
        <w:t>The local SAR in a tissue with conductivity σ (S/m) and mass density ρ (kg/m³) is:</w:t>
      </w:r>
    </w:p>
    <w:p w:rsidR="0054202C" w:rsidRPr="007B285D" w:rsidRDefault="0054202C" w:rsidP="009962E6">
      <w:pPr>
        <w:pStyle w:val="Paragrafoelenco"/>
        <w:tabs>
          <w:tab w:val="left" w:pos="3828"/>
        </w:tabs>
        <w:jc w:val="center"/>
      </w:pPr>
      <w:r w:rsidRPr="007B285D">
        <w:t>SAR = σ E</w:t>
      </w:r>
      <w:r w:rsidRPr="007B285D">
        <w:rPr>
          <w:vertAlign w:val="subscript"/>
        </w:rPr>
        <w:t>tissue,RMS</w:t>
      </w:r>
      <w:r w:rsidRPr="007B285D">
        <w:t>² / ρ</w:t>
      </w:r>
      <w:r w:rsidR="009962E6">
        <w:tab/>
        <w:t>(5)</w:t>
      </w:r>
    </w:p>
    <w:p w:rsidR="00394A78" w:rsidRDefault="00981EB2" w:rsidP="0054202C">
      <w:pPr>
        <w:pStyle w:val="Paragrafoelenco"/>
        <w:rPr>
          <w:b/>
          <w:bCs/>
        </w:rPr>
      </w:pPr>
      <w:r w:rsidRPr="00394A78">
        <w:t>Let us d</w:t>
      </w:r>
      <w:r w:rsidR="0054202C" w:rsidRPr="00394A78">
        <w:t>efine the electric-field transfer factor</w:t>
      </w:r>
      <w:r w:rsidR="0054202C" w:rsidRPr="0054202C">
        <w:rPr>
          <w:b/>
          <w:bCs/>
        </w:rPr>
        <w:t xml:space="preserve"> </w:t>
      </w:r>
    </w:p>
    <w:p w:rsidR="00394A78" w:rsidRPr="00EB402C" w:rsidRDefault="00AA3826" w:rsidP="00394A78">
      <w:pPr>
        <w:pStyle w:val="Paragrafoelenco"/>
        <w:jc w:val="center"/>
      </w:pPr>
      <w:r w:rsidRPr="002B648D">
        <w:t>k</w:t>
      </w:r>
      <w:r w:rsidR="0054202C" w:rsidRPr="002B648D">
        <w:rPr>
          <w:vertAlign w:val="subscript"/>
        </w:rPr>
        <w:t>E</w:t>
      </w:r>
      <w:r w:rsidR="0054202C" w:rsidRPr="002B648D">
        <w:t xml:space="preserve"> = E</w:t>
      </w:r>
      <w:r w:rsidR="0054202C" w:rsidRPr="002B648D">
        <w:rPr>
          <w:vertAlign w:val="subscript"/>
        </w:rPr>
        <w:t>tissue,RMS</w:t>
      </w:r>
      <w:r w:rsidR="0054202C" w:rsidRPr="002B648D">
        <w:t xml:space="preserve"> / E</w:t>
      </w:r>
      <w:r w:rsidR="0054202C" w:rsidRPr="002B648D">
        <w:rPr>
          <w:vertAlign w:val="subscript"/>
        </w:rPr>
        <w:t>inc,RMS</w:t>
      </w:r>
      <w:r w:rsidR="002B648D">
        <w:rPr>
          <w:vertAlign w:val="subscript"/>
        </w:rPr>
        <w:tab/>
      </w:r>
      <w:r w:rsidR="002B648D">
        <w:rPr>
          <w:vertAlign w:val="subscript"/>
        </w:rPr>
        <w:tab/>
      </w:r>
      <w:r w:rsidR="002B648D" w:rsidRPr="002B648D">
        <w:t>(6)</w:t>
      </w:r>
      <w:r w:rsidR="0054202C" w:rsidRPr="0054202C">
        <w:rPr>
          <w:b/>
          <w:bCs/>
        </w:rPr>
        <w:t>.</w:t>
      </w:r>
    </w:p>
    <w:p w:rsidR="0054202C" w:rsidRPr="0054202C" w:rsidRDefault="007A45D1" w:rsidP="0054202C">
      <w:pPr>
        <w:pStyle w:val="Paragrafoelenco"/>
        <w:rPr>
          <w:b/>
          <w:bCs/>
        </w:rPr>
      </w:pPr>
      <w:r w:rsidRPr="00EB402C">
        <w:t>Combining</w:t>
      </w:r>
      <w:r w:rsidR="009D008A" w:rsidRPr="00EB402C">
        <w:t xml:space="preserve"> (5) and </w:t>
      </w:r>
      <w:r w:rsidR="00EB402C" w:rsidRPr="00EB402C">
        <w:t>(6)</w:t>
      </w:r>
      <w:r w:rsidRPr="00EB402C">
        <w:t xml:space="preserve"> </w:t>
      </w:r>
      <w:r w:rsidR="00EB402C" w:rsidRPr="00EB402C">
        <w:t>we get</w:t>
      </w:r>
      <w:r w:rsidR="0054202C" w:rsidRPr="0054202C">
        <w:rPr>
          <w:b/>
          <w:bCs/>
        </w:rPr>
        <w:t>:</w:t>
      </w:r>
    </w:p>
    <w:p w:rsidR="0054202C" w:rsidRPr="006D4FBF" w:rsidRDefault="007C4A7A" w:rsidP="00F13E8B">
      <w:pPr>
        <w:pStyle w:val="Paragrafoelenco"/>
        <w:jc w:val="center"/>
      </w:pPr>
      <w:r w:rsidRPr="006D4FBF">
        <w:t>P</w:t>
      </w:r>
      <w:r w:rsidRPr="006D4FBF">
        <w:rPr>
          <w:vertAlign w:val="subscript"/>
        </w:rPr>
        <w:t>inc</w:t>
      </w:r>
      <w:r w:rsidRPr="006D4FBF">
        <w:t>=</w:t>
      </w:r>
      <w:r w:rsidR="0054202C" w:rsidRPr="006D4FBF">
        <w:t>SAR</w:t>
      </w:r>
      <w:r w:rsidR="004F2DB6" w:rsidRPr="006D4FBF">
        <w:t xml:space="preserve"> ρ </w:t>
      </w:r>
      <w:r w:rsidRPr="006D4FBF">
        <w:t>/</w:t>
      </w:r>
      <w:r w:rsidR="0054202C" w:rsidRPr="006D4FBF">
        <w:t>(</w:t>
      </w:r>
      <w:r w:rsidR="006D4FBF" w:rsidRPr="006D4FBF">
        <w:t xml:space="preserve"> k²</w:t>
      </w:r>
      <w:r w:rsidR="0054202C" w:rsidRPr="006D4FBF">
        <w:t>σ Z₀</w:t>
      </w:r>
      <w:r w:rsidR="006D4FBF" w:rsidRPr="006D4FBF">
        <w:t>)</w:t>
      </w:r>
      <w:r w:rsidR="0054202C" w:rsidRPr="006D4FBF">
        <w:t xml:space="preserve"> </w:t>
      </w:r>
      <w:r w:rsidR="00BC3309">
        <w:tab/>
      </w:r>
      <w:r w:rsidR="00BC3309">
        <w:tab/>
        <w:t>(7)</w:t>
      </w:r>
    </w:p>
    <w:p w:rsidR="0054202C" w:rsidRPr="007F3AD2" w:rsidRDefault="0054202C" w:rsidP="0054202C">
      <w:pPr>
        <w:pStyle w:val="Paragrafoelenco"/>
      </w:pPr>
      <w:r w:rsidRPr="007F3AD2">
        <w:t>The transfer factor depends on frequency, polarization, anatomical geometry, reflection, and depth. It</w:t>
      </w:r>
      <w:r w:rsidR="007F3AD2">
        <w:t xml:space="preserve"> </w:t>
      </w:r>
      <w:r w:rsidRPr="007F3AD2">
        <w:t>must be determined for the particular exposure configuration.</w:t>
      </w:r>
    </w:p>
    <w:p w:rsidR="00E6554B" w:rsidRDefault="00E6554B" w:rsidP="00E6554B">
      <w:pPr>
        <w:pStyle w:val="Paragrafoelenco"/>
        <w:rPr>
          <w:b/>
          <w:bCs/>
        </w:rPr>
      </w:pPr>
    </w:p>
    <w:p w:rsidR="00DE6782" w:rsidRDefault="0054202C" w:rsidP="00C83B8F">
      <w:pPr>
        <w:pStyle w:val="Paragrafoelenco"/>
        <w:numPr>
          <w:ilvl w:val="0"/>
          <w:numId w:val="7"/>
        </w:numPr>
        <w:rPr>
          <w:b/>
          <w:bCs/>
        </w:rPr>
      </w:pPr>
      <w:r w:rsidRPr="0054202C">
        <w:rPr>
          <w:b/>
          <w:bCs/>
        </w:rPr>
        <w:t xml:space="preserve">Consider normal incidence from air onto a homogeneous, isotropic, lossy tissue half-space. </w:t>
      </w:r>
    </w:p>
    <w:p w:rsidR="0054202C" w:rsidRPr="0054202C" w:rsidRDefault="0054202C" w:rsidP="00DE6782">
      <w:pPr>
        <w:pStyle w:val="Paragrafoelenco"/>
        <w:rPr>
          <w:b/>
          <w:bCs/>
        </w:rPr>
      </w:pPr>
      <w:r w:rsidRPr="00426721">
        <w:t>The tissue</w:t>
      </w:r>
      <w:r w:rsidR="003F457F" w:rsidRPr="00426721">
        <w:t xml:space="preserve"> </w:t>
      </w:r>
      <w:r w:rsidRPr="00426721">
        <w:t>intrinsic impedance and surface electric-field transmission coefficient are</w:t>
      </w:r>
      <w:r w:rsidRPr="0054202C">
        <w:rPr>
          <w:b/>
          <w:bCs/>
        </w:rPr>
        <w:t>:</w:t>
      </w:r>
    </w:p>
    <w:p w:rsidR="0054202C" w:rsidRPr="00426721" w:rsidRDefault="0054202C" w:rsidP="00426721">
      <w:pPr>
        <w:pStyle w:val="Paragrafoelenco"/>
        <w:jc w:val="center"/>
      </w:pPr>
      <w:r w:rsidRPr="00426721">
        <w:t>η</w:t>
      </w:r>
      <w:r w:rsidRPr="00426721">
        <w:rPr>
          <w:vertAlign w:val="subscript"/>
        </w:rPr>
        <w:t>t</w:t>
      </w:r>
      <w:r w:rsidRPr="00426721">
        <w:t xml:space="preserve"> = √[jωμ / (σ + jωε)]</w:t>
      </w:r>
      <w:r w:rsidR="00BC3309">
        <w:t xml:space="preserve"> </w:t>
      </w:r>
      <w:r w:rsidR="00BC3309">
        <w:tab/>
        <w:t>(8)</w:t>
      </w:r>
    </w:p>
    <w:p w:rsidR="0054202C" w:rsidRPr="008013FF" w:rsidRDefault="008013FF" w:rsidP="00E91067">
      <w:pPr>
        <w:pStyle w:val="Paragrafoelenco"/>
        <w:jc w:val="center"/>
      </w:pPr>
      <w:r>
        <w:t>k</w:t>
      </w:r>
      <w:r w:rsidR="0054202C" w:rsidRPr="00E91067">
        <w:rPr>
          <w:vertAlign w:val="subscript"/>
        </w:rPr>
        <w:t>E0</w:t>
      </w:r>
      <w:r w:rsidR="0054202C" w:rsidRPr="008013FF">
        <w:t xml:space="preserve"> = 2η</w:t>
      </w:r>
      <w:r w:rsidR="0054202C" w:rsidRPr="00E91067">
        <w:rPr>
          <w:vertAlign w:val="subscript"/>
        </w:rPr>
        <w:t>t</w:t>
      </w:r>
      <w:r w:rsidR="0054202C" w:rsidRPr="008013FF">
        <w:t xml:space="preserve"> / (Z₀ + η_t)</w:t>
      </w:r>
      <w:r w:rsidR="008F24F3">
        <w:tab/>
      </w:r>
      <w:r w:rsidR="008F24F3">
        <w:tab/>
        <w:t>(9)</w:t>
      </w:r>
    </w:p>
    <w:p w:rsidR="0054202C" w:rsidRDefault="0054202C" w:rsidP="0054202C">
      <w:pPr>
        <w:pStyle w:val="Paragrafoelenco"/>
      </w:pPr>
      <w:r w:rsidRPr="008013FF">
        <w:t>With field-amplitude attenuation constant α and depth z measured into the tissue, the transmitted</w:t>
      </w:r>
      <w:r w:rsidR="008F24F3">
        <w:t xml:space="preserve"> </w:t>
      </w:r>
      <w:r w:rsidRPr="008013FF">
        <w:t xml:space="preserve">field magnitude decreases as </w:t>
      </w:r>
      <w:r w:rsidR="00F8438D">
        <w:t>e</w:t>
      </w:r>
      <w:r w:rsidRPr="00F8438D">
        <w:rPr>
          <w:vertAlign w:val="superscript"/>
        </w:rPr>
        <w:t>−αz</w:t>
      </w:r>
      <w:r w:rsidRPr="008013FF">
        <w:t>. Therefore:</w:t>
      </w:r>
    </w:p>
    <w:p w:rsidR="004D2BDF" w:rsidRPr="008013FF" w:rsidRDefault="004D2BDF" w:rsidP="0054202C">
      <w:pPr>
        <w:pStyle w:val="Paragrafoelenco"/>
      </w:pPr>
    </w:p>
    <w:p w:rsidR="0054202C" w:rsidRDefault="00F5325F" w:rsidP="00505E06">
      <w:pPr>
        <w:pStyle w:val="Paragrafoelenco"/>
        <w:jc w:val="center"/>
      </w:pPr>
      <w:r>
        <w:t>P</w:t>
      </w:r>
      <w:r w:rsidR="00116DD1" w:rsidRPr="00116DD1">
        <w:rPr>
          <w:vertAlign w:val="subscript"/>
        </w:rPr>
        <w:t>inc</w:t>
      </w:r>
      <w:r>
        <w:rPr>
          <w:vertAlign w:val="subscript"/>
        </w:rPr>
        <w:t xml:space="preserve"> </w:t>
      </w:r>
      <w:r w:rsidRPr="00F5325F">
        <w:t>=</w:t>
      </w:r>
      <w:r w:rsidR="00116DD1" w:rsidRPr="00116DD1">
        <w:rPr>
          <w:vertAlign w:val="subscript"/>
        </w:rPr>
        <w:t xml:space="preserve"> </w:t>
      </w:r>
      <w:r w:rsidR="0054202C" w:rsidRPr="008013FF">
        <w:t xml:space="preserve">SAR(z) </w:t>
      </w:r>
      <w:r w:rsidR="001F2730" w:rsidRPr="008013FF">
        <w:t>ρ</w:t>
      </w:r>
      <w:r w:rsidR="001F2730">
        <w:t xml:space="preserve"> /</w:t>
      </w:r>
      <w:r w:rsidR="001F2730" w:rsidRPr="008013FF">
        <w:t xml:space="preserve"> </w:t>
      </w:r>
      <w:r w:rsidR="0054202C" w:rsidRPr="008013FF">
        <w:t>(σ Z₀ |2η</w:t>
      </w:r>
      <w:r w:rsidR="0054202C" w:rsidRPr="00F467F8">
        <w:rPr>
          <w:vertAlign w:val="subscript"/>
        </w:rPr>
        <w:t>t</w:t>
      </w:r>
      <w:r w:rsidR="0054202C" w:rsidRPr="008013FF">
        <w:t xml:space="preserve"> / (Z₀ + η</w:t>
      </w:r>
      <w:r w:rsidR="0054202C" w:rsidRPr="00F467F8">
        <w:rPr>
          <w:vertAlign w:val="subscript"/>
        </w:rPr>
        <w:t>t</w:t>
      </w:r>
      <w:r w:rsidR="0054202C" w:rsidRPr="008013FF">
        <w:t>)|² e−</w:t>
      </w:r>
      <w:r w:rsidR="0054202C" w:rsidRPr="00851CD1">
        <w:rPr>
          <w:vertAlign w:val="superscript"/>
        </w:rPr>
        <w:t>2αz</w:t>
      </w:r>
      <w:r w:rsidR="0054202C" w:rsidRPr="008013FF">
        <w:t>)</w:t>
      </w:r>
      <w:r w:rsidR="00505E06">
        <w:tab/>
      </w:r>
      <w:r w:rsidR="00154E03">
        <w:tab/>
      </w:r>
      <w:r w:rsidR="00505E06">
        <w:t>(10)</w:t>
      </w:r>
    </w:p>
    <w:p w:rsidR="00154E03" w:rsidRPr="008013FF" w:rsidRDefault="00A877F4" w:rsidP="00A877F4">
      <w:pPr>
        <w:pStyle w:val="Paragrafoelenco"/>
        <w:tabs>
          <w:tab w:val="left" w:pos="1080"/>
        </w:tabs>
      </w:pPr>
      <w:r>
        <w:tab/>
      </w:r>
    </w:p>
    <w:p w:rsidR="0054202C" w:rsidRDefault="0054202C" w:rsidP="0054202C">
      <w:pPr>
        <w:pStyle w:val="Paragrafoelenco"/>
      </w:pPr>
      <w:r w:rsidRPr="008013FF">
        <w:t>This expression gives local SAR under the stated idealized assumptions</w:t>
      </w:r>
      <w:r w:rsidR="00A56963">
        <w:t>, that are</w:t>
      </w:r>
      <w:r w:rsidRPr="008013FF">
        <w:t xml:space="preserve"> not </w:t>
      </w:r>
      <w:r w:rsidR="00FC6B7E">
        <w:t xml:space="preserve">generally </w:t>
      </w:r>
      <w:r w:rsidR="0062522E">
        <w:t xml:space="preserve">suitable </w:t>
      </w:r>
      <w:r w:rsidR="00757D53">
        <w:t xml:space="preserve">for computing the SAR in a </w:t>
      </w:r>
      <w:r w:rsidRPr="008013FF">
        <w:t>human head</w:t>
      </w:r>
      <w:r w:rsidR="00757D53">
        <w:t xml:space="preserve">, given the </w:t>
      </w:r>
      <w:r w:rsidR="00777639">
        <w:t>P</w:t>
      </w:r>
      <w:r w:rsidR="00777639" w:rsidRPr="00116DD1">
        <w:rPr>
          <w:vertAlign w:val="subscript"/>
        </w:rPr>
        <w:t>inc</w:t>
      </w:r>
      <w:r w:rsidRPr="008013FF">
        <w:t>.</w:t>
      </w:r>
      <w:r w:rsidR="0051720F">
        <w:t xml:space="preserve"> </w:t>
      </w:r>
      <w:r w:rsidR="0051720F" w:rsidRPr="0051720F">
        <w:t>0,20 W/kg</w:t>
      </w:r>
      <w:r w:rsidR="001075EC">
        <w:t xml:space="preserve">. </w:t>
      </w:r>
      <w:r w:rsidR="0059367D">
        <w:t xml:space="preserve">Local SAR is not the averaged SAR on a volume </w:t>
      </w:r>
      <w:r w:rsidR="00E324F0">
        <w:t xml:space="preserve">of tissue, but the local </w:t>
      </w:r>
      <w:r w:rsidR="00DE2C4F">
        <w:t xml:space="preserve">value </w:t>
      </w:r>
      <w:r w:rsidR="009E78F4">
        <w:t>extrapol</w:t>
      </w:r>
      <w:r w:rsidR="002E48EE">
        <w:t xml:space="preserve">ated </w:t>
      </w:r>
      <w:r w:rsidR="00DE2C4F">
        <w:t xml:space="preserve">at internal surface of a </w:t>
      </w:r>
      <w:r w:rsidR="00BF64DC">
        <w:t>homogeneous half spac</w:t>
      </w:r>
      <w:r w:rsidR="00933436">
        <w:t xml:space="preserve">e, in the </w:t>
      </w:r>
      <w:r w:rsidR="00A25F40">
        <w:t xml:space="preserve">infinitesimal </w:t>
      </w:r>
      <w:r w:rsidR="00933436">
        <w:t>limit of z</w:t>
      </w:r>
      <w:r w:rsidR="00A25F40" w:rsidRPr="00A25F40">
        <w:rPr>
          <w:vertAlign w:val="superscript"/>
        </w:rPr>
        <w:t>+</w:t>
      </w:r>
      <w:r w:rsidR="00904C40">
        <w:t>Thank to such an</w:t>
      </w:r>
      <w:r w:rsidR="006D359E">
        <w:t xml:space="preserve"> assump</w:t>
      </w:r>
      <w:r w:rsidR="00904C40">
        <w:t>t</w:t>
      </w:r>
      <w:r w:rsidR="006D359E">
        <w:t xml:space="preserve">ion </w:t>
      </w:r>
      <w:r w:rsidR="00664488" w:rsidRPr="008013FF">
        <w:t>e−</w:t>
      </w:r>
      <w:r w:rsidR="00664488" w:rsidRPr="00851CD1">
        <w:rPr>
          <w:vertAlign w:val="superscript"/>
        </w:rPr>
        <w:t>2αz</w:t>
      </w:r>
      <w:r w:rsidR="008A2924" w:rsidRPr="008A2924">
        <w:t>=1</w:t>
      </w:r>
      <w:r w:rsidR="00B04AB7">
        <w:t>,</w:t>
      </w:r>
      <w:r w:rsidR="00664488">
        <w:t xml:space="preserve"> in (10</w:t>
      </w:r>
      <w:r w:rsidR="008A2924">
        <w:t>).</w:t>
      </w:r>
    </w:p>
    <w:p w:rsidR="00FC6B7E" w:rsidRPr="008013FF" w:rsidRDefault="00FC6B7E" w:rsidP="0054202C">
      <w:pPr>
        <w:pStyle w:val="Paragrafoelenco"/>
      </w:pPr>
    </w:p>
    <w:p w:rsidR="0054202C" w:rsidRPr="0054202C" w:rsidRDefault="0054202C" w:rsidP="0054202C">
      <w:pPr>
        <w:pStyle w:val="Paragrafoelenco"/>
        <w:rPr>
          <w:b/>
          <w:bCs/>
        </w:rPr>
      </w:pPr>
      <w:r w:rsidRPr="0054202C">
        <w:rPr>
          <w:b/>
          <w:bCs/>
        </w:rPr>
        <w:t>3. Numerical illustration at 900 MHz</w:t>
      </w:r>
    </w:p>
    <w:p w:rsidR="0054202C" w:rsidRPr="009325AA" w:rsidRDefault="0054202C" w:rsidP="0054202C">
      <w:pPr>
        <w:pStyle w:val="Paragrafoelenco"/>
      </w:pPr>
      <w:r w:rsidRPr="009325AA">
        <w:t>Assume a homogeneous tissue with relative permittivity ε</w:t>
      </w:r>
      <w:r w:rsidRPr="009325AA">
        <w:rPr>
          <w:vertAlign w:val="subscript"/>
        </w:rPr>
        <w:t>r</w:t>
      </w:r>
      <w:r w:rsidRPr="009325AA">
        <w:t xml:space="preserve"> = 45, conductivity σ = 0.9 S/m, density ρ</w:t>
      </w:r>
      <w:r w:rsidR="00011559" w:rsidRPr="009325AA">
        <w:t xml:space="preserve"> </w:t>
      </w:r>
      <w:r w:rsidRPr="009325AA">
        <w:t xml:space="preserve">= 1050 kg/m³, and </w:t>
      </w:r>
      <w:r w:rsidR="007F5F5C">
        <w:t xml:space="preserve">SAR(0)= </w:t>
      </w:r>
      <w:r w:rsidR="00000104">
        <w:t xml:space="preserve">200 mW/Kg, </w:t>
      </w:r>
      <w:r w:rsidRPr="009325AA">
        <w:t xml:space="preserve">incident power density </w:t>
      </w:r>
      <w:r w:rsidR="00F96842">
        <w:t>P</w:t>
      </w:r>
      <w:r w:rsidRPr="00F96842">
        <w:rPr>
          <w:vertAlign w:val="subscript"/>
        </w:rPr>
        <w:t>inc</w:t>
      </w:r>
      <w:r w:rsidRPr="009325AA">
        <w:t xml:space="preserve"> = 10 W/m².</w:t>
      </w:r>
    </w:p>
    <w:p w:rsidR="0054202C" w:rsidRPr="009325AA" w:rsidRDefault="0054202C" w:rsidP="0054202C">
      <w:pPr>
        <w:pStyle w:val="Paragrafoelenco"/>
      </w:pPr>
      <w:r w:rsidRPr="009325AA">
        <w:t>At 900 MHz, the tissue impedance is approximately η</w:t>
      </w:r>
      <w:r w:rsidRPr="00FC55F3">
        <w:rPr>
          <w:vertAlign w:val="subscript"/>
        </w:rPr>
        <w:t>t</w:t>
      </w:r>
      <w:r w:rsidRPr="009325AA">
        <w:t xml:space="preserve"> = (53 + j10) Ω and the magnitude of the</w:t>
      </w:r>
      <w:r w:rsidR="00F72BC5" w:rsidRPr="009325AA">
        <w:t xml:space="preserve"> </w:t>
      </w:r>
      <w:r w:rsidRPr="009325AA">
        <w:t xml:space="preserve">surface transmission factor is approximately </w:t>
      </w:r>
      <w:r w:rsidR="00FC4032" w:rsidRPr="009325AA">
        <w:t>k</w:t>
      </w:r>
      <w:r w:rsidR="00FC4032" w:rsidRPr="009325AA">
        <w:rPr>
          <w:vertAlign w:val="subscript"/>
        </w:rPr>
        <w:t>E0</w:t>
      </w:r>
      <w:r w:rsidRPr="009325AA">
        <w:t xml:space="preserve"> = 0.25.</w:t>
      </w:r>
    </w:p>
    <w:p w:rsidR="008A0911" w:rsidRDefault="0054202C" w:rsidP="0054202C">
      <w:pPr>
        <w:pStyle w:val="Paragrafoelenco"/>
      </w:pPr>
      <w:r w:rsidRPr="009325AA">
        <w:t>SAR(0</w:t>
      </w:r>
      <w:r w:rsidR="000F4F18">
        <w:t>,900 MHz</w:t>
      </w:r>
      <w:r w:rsidRPr="009325AA">
        <w:t xml:space="preserve">) ≈ (0.9 × 376.73 / 1050) × </w:t>
      </w:r>
      <w:r w:rsidR="00B95FAA">
        <w:t xml:space="preserve">0.063x </w:t>
      </w:r>
      <w:r w:rsidRPr="009325AA">
        <w:t>0.25² × 10</w:t>
      </w:r>
    </w:p>
    <w:p w:rsidR="0054202C" w:rsidRPr="009325AA" w:rsidRDefault="0054202C" w:rsidP="0054202C">
      <w:pPr>
        <w:pStyle w:val="Paragrafoelenco"/>
      </w:pPr>
    </w:p>
    <w:p w:rsidR="0054202C" w:rsidRPr="009325AA" w:rsidRDefault="0054202C" w:rsidP="0054202C">
      <w:pPr>
        <w:pStyle w:val="Paragrafoelenco"/>
      </w:pPr>
      <w:r w:rsidRPr="009325AA">
        <w:t>This illustrative result is a local surface value for the half-space model. It is not a 1-g or 10-g averaged</w:t>
      </w:r>
      <w:r w:rsidR="005F0D8D">
        <w:t xml:space="preserve"> </w:t>
      </w:r>
      <w:r w:rsidRPr="009325AA">
        <w:t>SAR and should not be treated as a prediction for an actual head or phone.</w:t>
      </w:r>
    </w:p>
    <w:p w:rsidR="00D74E6E" w:rsidRDefault="00D74E6E" w:rsidP="00D74E6E">
      <w:pPr>
        <w:pStyle w:val="Paragrafoelenco"/>
        <w:rPr>
          <w:b/>
        </w:rPr>
      </w:pPr>
      <w:r w:rsidRPr="00D74E6E">
        <w:rPr>
          <w:b/>
        </w:rPr>
        <w:t xml:space="preserve">Anyway, it provides a way to calculate the SAR to which a person can be exposed and, vice versa, the possibility of computing the maximum admissible </w:t>
      </w:r>
      <w:r w:rsidRPr="00D74E6E">
        <w:rPr>
          <w:b/>
          <w:bCs/>
        </w:rPr>
        <w:t>P</w:t>
      </w:r>
      <w:r w:rsidRPr="00D74E6E">
        <w:rPr>
          <w:b/>
          <w:bCs/>
          <w:vertAlign w:val="subscript"/>
        </w:rPr>
        <w:t>inc</w:t>
      </w:r>
      <w:r w:rsidRPr="00D74E6E">
        <w:rPr>
          <w:b/>
          <w:vertAlign w:val="subscript"/>
        </w:rPr>
        <w:t xml:space="preserve"> </w:t>
      </w:r>
      <w:r w:rsidRPr="00D74E6E">
        <w:rPr>
          <w:b/>
        </w:rPr>
        <w:t>to which that person can be exposed.</w:t>
      </w:r>
    </w:p>
    <w:p w:rsidR="00D74E6E" w:rsidRDefault="006B46EE" w:rsidP="00D74E6E">
      <w:pPr>
        <w:pStyle w:val="Paragrafoelenco"/>
        <w:rPr>
          <w:bCs/>
        </w:rPr>
      </w:pPr>
      <w:r w:rsidRPr="006B46EE">
        <w:rPr>
          <w:b/>
          <w:bCs/>
        </w:rPr>
        <w:lastRenderedPageBreak/>
        <w:t>Inverse Calculation</w:t>
      </w:r>
      <w:r w:rsidRPr="00D74E6E">
        <w:rPr>
          <w:bCs/>
        </w:rPr>
        <w:t>: Incident Power Density from Local SAR</w:t>
      </w:r>
      <w:r w:rsidR="00D1378E" w:rsidRPr="00D74E6E">
        <w:rPr>
          <w:bCs/>
        </w:rPr>
        <w:t xml:space="preserve"> </w:t>
      </w:r>
      <w:r w:rsidRPr="00D74E6E">
        <w:rPr>
          <w:bCs/>
        </w:rPr>
        <w:t xml:space="preserve">900 MHz </w:t>
      </w:r>
      <w:r w:rsidR="00D1378E" w:rsidRPr="00D74E6E">
        <w:rPr>
          <w:bCs/>
        </w:rPr>
        <w:t xml:space="preserve">- </w:t>
      </w:r>
      <w:r w:rsidRPr="00D74E6E">
        <w:rPr>
          <w:bCs/>
        </w:rPr>
        <w:t>Normal incidence on a homogeneous tissue half-space</w:t>
      </w:r>
    </w:p>
    <w:p w:rsidR="006B46EE" w:rsidRPr="00D74E6E" w:rsidRDefault="006B46EE" w:rsidP="00D74E6E">
      <w:pPr>
        <w:pStyle w:val="Paragrafoelenco"/>
        <w:rPr>
          <w:bCs/>
        </w:rPr>
      </w:pPr>
      <w:r w:rsidRPr="006B46EE">
        <w:rPr>
          <w:b/>
          <w:bCs/>
        </w:rPr>
        <w:t xml:space="preserve">Objective: </w:t>
      </w:r>
      <w:r w:rsidRPr="00D74E6E">
        <w:rPr>
          <w:bCs/>
        </w:rPr>
        <w:t>calculate incident far-field power density starting from SAR(0) = 0.2 W/kg, using the</w:t>
      </w:r>
      <w:r w:rsidR="00D74E6E">
        <w:rPr>
          <w:bCs/>
        </w:rPr>
        <w:t xml:space="preserve"> </w:t>
      </w:r>
      <w:r w:rsidRPr="00D74E6E">
        <w:rPr>
          <w:bCs/>
        </w:rPr>
        <w:t>same rounded transmission coefficient and material parameters as in the preceding example.</w:t>
      </w:r>
    </w:p>
    <w:p w:rsidR="006B46EE" w:rsidRPr="006B46EE" w:rsidRDefault="006B46EE" w:rsidP="00686E5D">
      <w:pPr>
        <w:ind w:firstLine="708"/>
        <w:rPr>
          <w:b/>
          <w:bCs/>
        </w:rPr>
      </w:pPr>
      <w:r w:rsidRPr="006B46EE">
        <w:rPr>
          <w:b/>
          <w:bCs/>
        </w:rPr>
        <w:t>1. Input data</w:t>
      </w:r>
    </w:p>
    <w:p w:rsidR="006B46EE" w:rsidRPr="00D74E6E" w:rsidRDefault="005C46F4" w:rsidP="005C46F4">
      <w:pPr>
        <w:ind w:firstLine="708"/>
        <w:rPr>
          <w:bCs/>
        </w:rPr>
      </w:pPr>
      <w:r w:rsidRPr="00D74E6E">
        <w:rPr>
          <w:bCs/>
        </w:rPr>
        <w:t xml:space="preserve">    </w:t>
      </w:r>
      <w:r w:rsidR="006B46EE" w:rsidRPr="00D74E6E">
        <w:rPr>
          <w:bCs/>
        </w:rPr>
        <w:t>Quantity Value</w:t>
      </w:r>
    </w:p>
    <w:p w:rsidR="006B46EE" w:rsidRPr="00D74E6E" w:rsidRDefault="005C46F4" w:rsidP="005C46F4">
      <w:pPr>
        <w:ind w:firstLine="708"/>
        <w:rPr>
          <w:bCs/>
        </w:rPr>
      </w:pPr>
      <w:r w:rsidRPr="00D74E6E">
        <w:rPr>
          <w:bCs/>
        </w:rPr>
        <w:t xml:space="preserve">    </w:t>
      </w:r>
      <w:r w:rsidR="006B46EE" w:rsidRPr="00D74E6E">
        <w:rPr>
          <w:bCs/>
        </w:rPr>
        <w:t xml:space="preserve">Local SAR </w:t>
      </w:r>
      <w:r w:rsidR="004C1682" w:rsidRPr="00D74E6E">
        <w:rPr>
          <w:bCs/>
        </w:rPr>
        <w:t xml:space="preserve">in the </w:t>
      </w:r>
      <w:r w:rsidR="003213D1" w:rsidRPr="00D74E6E">
        <w:rPr>
          <w:bCs/>
        </w:rPr>
        <w:t xml:space="preserve">infinitesimal </w:t>
      </w:r>
      <w:r w:rsidR="004C1682" w:rsidRPr="00D74E6E">
        <w:rPr>
          <w:bCs/>
        </w:rPr>
        <w:t>limit</w:t>
      </w:r>
      <w:r w:rsidR="006B46EE" w:rsidRPr="00D74E6E">
        <w:rPr>
          <w:bCs/>
        </w:rPr>
        <w:t xml:space="preserve"> </w:t>
      </w:r>
      <w:r w:rsidR="003213D1" w:rsidRPr="00D74E6E">
        <w:rPr>
          <w:bCs/>
        </w:rPr>
        <w:t xml:space="preserve">of </w:t>
      </w:r>
      <w:r w:rsidR="006B46EE" w:rsidRPr="00D74E6E">
        <w:rPr>
          <w:bCs/>
        </w:rPr>
        <w:t xml:space="preserve">z </w:t>
      </w:r>
      <w:r w:rsidR="003213D1" w:rsidRPr="00D74E6E">
        <w:rPr>
          <w:bCs/>
        </w:rPr>
        <w:t xml:space="preserve"> (z</w:t>
      </w:r>
      <w:r w:rsidR="006B46EE" w:rsidRPr="00D74E6E">
        <w:rPr>
          <w:bCs/>
        </w:rPr>
        <w:t>= 0</w:t>
      </w:r>
      <w:r w:rsidR="006B46EE" w:rsidRPr="00D74E6E">
        <w:rPr>
          <w:bCs/>
          <w:vertAlign w:val="superscript"/>
        </w:rPr>
        <w:t>+</w:t>
      </w:r>
      <w:r w:rsidR="00BC6E09" w:rsidRPr="00D74E6E">
        <w:rPr>
          <w:bCs/>
        </w:rPr>
        <w:t>)</w:t>
      </w:r>
      <w:r w:rsidR="006B46EE" w:rsidRPr="00D74E6E">
        <w:rPr>
          <w:bCs/>
        </w:rPr>
        <w:t xml:space="preserve"> </w:t>
      </w:r>
      <w:r w:rsidR="00BC6E09" w:rsidRPr="00D74E6E">
        <w:rPr>
          <w:bCs/>
        </w:rPr>
        <w:t xml:space="preserve">= </w:t>
      </w:r>
      <w:r w:rsidR="006B46EE" w:rsidRPr="00D74E6E">
        <w:rPr>
          <w:bCs/>
        </w:rPr>
        <w:t>0.2</w:t>
      </w:r>
      <w:r w:rsidR="00B04AB7">
        <w:rPr>
          <w:bCs/>
        </w:rPr>
        <w:t>034</w:t>
      </w:r>
      <w:r w:rsidR="006B46EE" w:rsidRPr="00D74E6E">
        <w:rPr>
          <w:bCs/>
        </w:rPr>
        <w:t xml:space="preserve"> W/kg</w:t>
      </w:r>
    </w:p>
    <w:p w:rsidR="006B46EE" w:rsidRPr="00D74E6E" w:rsidRDefault="005C46F4" w:rsidP="005C46F4">
      <w:pPr>
        <w:ind w:firstLine="708"/>
        <w:rPr>
          <w:bCs/>
        </w:rPr>
      </w:pPr>
      <w:r w:rsidRPr="00D74E6E">
        <w:rPr>
          <w:bCs/>
        </w:rPr>
        <w:t xml:space="preserve">    </w:t>
      </w:r>
      <w:r w:rsidR="006B46EE" w:rsidRPr="00D74E6E">
        <w:rPr>
          <w:bCs/>
        </w:rPr>
        <w:t xml:space="preserve">Frequency </w:t>
      </w:r>
      <w:r w:rsidRPr="00D74E6E">
        <w:rPr>
          <w:bCs/>
        </w:rPr>
        <w:t>=</w:t>
      </w:r>
      <w:r w:rsidR="006B46EE" w:rsidRPr="00D74E6E">
        <w:rPr>
          <w:bCs/>
        </w:rPr>
        <w:t>900 MHz</w:t>
      </w:r>
    </w:p>
    <w:p w:rsidR="006B46EE" w:rsidRPr="00D74E6E" w:rsidRDefault="00196CA5" w:rsidP="00196CA5">
      <w:pPr>
        <w:ind w:firstLine="708"/>
        <w:rPr>
          <w:bCs/>
        </w:rPr>
      </w:pPr>
      <w:r w:rsidRPr="00D74E6E">
        <w:rPr>
          <w:bCs/>
        </w:rPr>
        <w:t xml:space="preserve">    </w:t>
      </w:r>
      <w:r w:rsidR="006B46EE" w:rsidRPr="00D74E6E">
        <w:rPr>
          <w:bCs/>
        </w:rPr>
        <w:t xml:space="preserve">Tissue conductivity </w:t>
      </w:r>
      <w:r w:rsidR="006B46EE" w:rsidRPr="00D74E6E">
        <w:rPr>
          <w:rFonts w:ascii="Symbol" w:hAnsi="Symbol"/>
          <w:bCs/>
        </w:rPr>
        <w:t></w:t>
      </w:r>
      <w:r w:rsidR="0094077E" w:rsidRPr="00D74E6E">
        <w:rPr>
          <w:bCs/>
        </w:rPr>
        <w:t>(900 MHz)</w:t>
      </w:r>
      <w:r w:rsidR="006C5824" w:rsidRPr="00D74E6E">
        <w:rPr>
          <w:bCs/>
        </w:rPr>
        <w:t xml:space="preserve"> =</w:t>
      </w:r>
      <w:r w:rsidR="006B46EE" w:rsidRPr="00D74E6E">
        <w:rPr>
          <w:bCs/>
        </w:rPr>
        <w:t xml:space="preserve"> 0.9 S/m</w:t>
      </w:r>
    </w:p>
    <w:p w:rsidR="006B46EE" w:rsidRPr="00D74E6E" w:rsidRDefault="00196CA5" w:rsidP="00196CA5">
      <w:pPr>
        <w:ind w:firstLine="708"/>
        <w:rPr>
          <w:bCs/>
        </w:rPr>
      </w:pPr>
      <w:r w:rsidRPr="00D74E6E">
        <w:rPr>
          <w:bCs/>
        </w:rPr>
        <w:t xml:space="preserve">    </w:t>
      </w:r>
      <w:r w:rsidR="006B46EE" w:rsidRPr="00D74E6E">
        <w:rPr>
          <w:bCs/>
        </w:rPr>
        <w:t xml:space="preserve">Tissue mass density </w:t>
      </w:r>
      <w:r w:rsidR="006B46EE" w:rsidRPr="00D74E6E">
        <w:rPr>
          <w:rFonts w:ascii="Symbol" w:hAnsi="Symbol"/>
          <w:bCs/>
        </w:rPr>
        <w:t></w:t>
      </w:r>
      <w:r w:rsidR="006C5824" w:rsidRPr="00D74E6E">
        <w:rPr>
          <w:rFonts w:ascii="Symbol" w:hAnsi="Symbol"/>
          <w:bCs/>
        </w:rPr>
        <w:t></w:t>
      </w:r>
      <w:r w:rsidR="006B46EE" w:rsidRPr="00D74E6E">
        <w:rPr>
          <w:bCs/>
        </w:rPr>
        <w:t xml:space="preserve"> 1050 kg/m³</w:t>
      </w:r>
    </w:p>
    <w:p w:rsidR="006B46EE" w:rsidRPr="00D74E6E" w:rsidRDefault="00196CA5" w:rsidP="00196CA5">
      <w:pPr>
        <w:ind w:firstLine="708"/>
        <w:rPr>
          <w:bCs/>
        </w:rPr>
      </w:pPr>
      <w:r w:rsidRPr="00D74E6E">
        <w:rPr>
          <w:bCs/>
        </w:rPr>
        <w:t xml:space="preserve">    </w:t>
      </w:r>
      <w:r w:rsidR="006B46EE" w:rsidRPr="00D74E6E">
        <w:rPr>
          <w:bCs/>
        </w:rPr>
        <w:t>Free-space wave impedance (Z</w:t>
      </w:r>
      <w:r w:rsidR="006B46EE" w:rsidRPr="00D74E6E">
        <w:rPr>
          <w:bCs/>
          <w:vertAlign w:val="subscript"/>
        </w:rPr>
        <w:t>0</w:t>
      </w:r>
      <w:r w:rsidR="006B46EE" w:rsidRPr="00D74E6E">
        <w:rPr>
          <w:bCs/>
        </w:rPr>
        <w:t>)</w:t>
      </w:r>
      <w:r w:rsidR="00AF14C5" w:rsidRPr="00D74E6E">
        <w:rPr>
          <w:bCs/>
        </w:rPr>
        <w:t xml:space="preserve"> =</w:t>
      </w:r>
      <w:r w:rsidR="006B46EE" w:rsidRPr="00D74E6E">
        <w:rPr>
          <w:bCs/>
        </w:rPr>
        <w:t xml:space="preserve"> 376.73 ohms</w:t>
      </w:r>
    </w:p>
    <w:p w:rsidR="006B46EE" w:rsidRPr="00D74E6E" w:rsidRDefault="00D74E6E" w:rsidP="00C7450C">
      <w:pPr>
        <w:ind w:firstLine="708"/>
        <w:rPr>
          <w:bCs/>
        </w:rPr>
      </w:pPr>
      <w:r>
        <w:rPr>
          <w:bCs/>
        </w:rPr>
        <w:t xml:space="preserve">    </w:t>
      </w:r>
      <w:r w:rsidR="006B46EE" w:rsidRPr="00D74E6E">
        <w:rPr>
          <w:bCs/>
        </w:rPr>
        <w:t xml:space="preserve">Squared electric-field transmission factor </w:t>
      </w:r>
      <w:r w:rsidR="00AF14C5" w:rsidRPr="00D74E6E">
        <w:rPr>
          <w:bCs/>
        </w:rPr>
        <w:t>k</w:t>
      </w:r>
      <w:r w:rsidR="006B46EE" w:rsidRPr="00D74E6E">
        <w:rPr>
          <w:bCs/>
          <w:vertAlign w:val="subscript"/>
        </w:rPr>
        <w:t>E</w:t>
      </w:r>
      <w:r w:rsidR="006B46EE" w:rsidRPr="00D74E6E">
        <w:rPr>
          <w:bCs/>
        </w:rPr>
        <w:t>²</w:t>
      </w:r>
      <w:r w:rsidR="006358A2" w:rsidRPr="00D74E6E">
        <w:rPr>
          <w:bCs/>
        </w:rPr>
        <w:t>=</w:t>
      </w:r>
      <w:r w:rsidR="006B46EE" w:rsidRPr="00D74E6E">
        <w:rPr>
          <w:bCs/>
        </w:rPr>
        <w:t xml:space="preserve"> 0.063 (dimensionless)</w:t>
      </w:r>
    </w:p>
    <w:p w:rsidR="006B46EE" w:rsidRPr="006B46EE" w:rsidRDefault="006B46EE" w:rsidP="00C4309A">
      <w:pPr>
        <w:ind w:firstLine="708"/>
        <w:rPr>
          <w:b/>
          <w:bCs/>
        </w:rPr>
      </w:pPr>
      <w:r w:rsidRPr="006B46EE">
        <w:rPr>
          <w:b/>
          <w:bCs/>
        </w:rPr>
        <w:t>2. Start with the local SAR equation</w:t>
      </w:r>
    </w:p>
    <w:p w:rsidR="006B46EE" w:rsidRPr="00D11549" w:rsidRDefault="006B46EE" w:rsidP="00C4309A">
      <w:pPr>
        <w:ind w:firstLine="708"/>
      </w:pPr>
      <w:r w:rsidRPr="00D11549">
        <w:t>SAR(0</w:t>
      </w:r>
      <w:r w:rsidR="007B4230" w:rsidRPr="00D11549">
        <w:t>, 900 MHz</w:t>
      </w:r>
      <w:r w:rsidRPr="00D11549">
        <w:t xml:space="preserve">) = </w:t>
      </w:r>
      <w:r w:rsidR="00E62CA5" w:rsidRPr="00D11549">
        <w:t>(</w:t>
      </w:r>
      <w:r w:rsidRPr="00D11549">
        <w:rPr>
          <w:rFonts w:ascii="Symbol" w:hAnsi="Symbol"/>
        </w:rPr>
        <w:t></w:t>
      </w:r>
      <w:r w:rsidRPr="00D11549">
        <w:t xml:space="preserve"> × Z</w:t>
      </w:r>
      <w:r w:rsidRPr="00D11549">
        <w:rPr>
          <w:vertAlign w:val="subscript"/>
        </w:rPr>
        <w:t>0</w:t>
      </w:r>
      <w:r w:rsidRPr="00D11549">
        <w:t xml:space="preserve"> × </w:t>
      </w:r>
      <w:r w:rsidR="00E93F7C" w:rsidRPr="00D11549">
        <w:t>k</w:t>
      </w:r>
      <w:r w:rsidRPr="00D11549">
        <w:rPr>
          <w:vertAlign w:val="subscript"/>
        </w:rPr>
        <w:t>E</w:t>
      </w:r>
      <w:r w:rsidRPr="00D11549">
        <w:t xml:space="preserve">² / </w:t>
      </w:r>
      <w:r w:rsidRPr="00D11549">
        <w:rPr>
          <w:rFonts w:ascii="Symbol" w:hAnsi="Symbol"/>
        </w:rPr>
        <w:t></w:t>
      </w:r>
      <w:r w:rsidR="00E62CA5" w:rsidRPr="00D11549">
        <w:rPr>
          <w:rFonts w:ascii="Symbol" w:hAnsi="Symbol"/>
        </w:rPr>
        <w:t></w:t>
      </w:r>
      <w:r w:rsidRPr="00D11549">
        <w:t xml:space="preserve"> × </w:t>
      </w:r>
      <w:r w:rsidR="00024240" w:rsidRPr="00D11549">
        <w:t>P</w:t>
      </w:r>
      <w:r w:rsidRPr="00D11549">
        <w:rPr>
          <w:vertAlign w:val="subscript"/>
        </w:rPr>
        <w:t>inc</w:t>
      </w:r>
    </w:p>
    <w:p w:rsidR="006B46EE" w:rsidRPr="00D11549" w:rsidRDefault="006B46EE" w:rsidP="00445318">
      <w:pPr>
        <w:ind w:firstLine="708"/>
      </w:pPr>
      <w:r w:rsidRPr="00D11549">
        <w:t>Solv</w:t>
      </w:r>
      <w:r w:rsidR="00C4152E" w:rsidRPr="00D11549">
        <w:t>ing</w:t>
      </w:r>
      <w:r w:rsidRPr="00D11549">
        <w:t xml:space="preserve"> algebraically for the incident power density:</w:t>
      </w:r>
    </w:p>
    <w:p w:rsidR="006B46EE" w:rsidRPr="00D74E6E" w:rsidRDefault="004E62F8" w:rsidP="00445318">
      <w:pPr>
        <w:ind w:firstLine="708"/>
      </w:pPr>
      <w:r w:rsidRPr="00D11549">
        <w:t>P</w:t>
      </w:r>
      <w:r w:rsidR="006B46EE" w:rsidRPr="00D11549">
        <w:rPr>
          <w:vertAlign w:val="subscript"/>
        </w:rPr>
        <w:t>inc</w:t>
      </w:r>
      <w:r w:rsidR="006B46EE" w:rsidRPr="00D11549">
        <w:t xml:space="preserve"> = SAR(0</w:t>
      </w:r>
      <w:r w:rsidR="008946B1" w:rsidRPr="00D11549">
        <w:t>, 900 MH</w:t>
      </w:r>
      <w:r w:rsidR="001A65B2" w:rsidRPr="00D11549">
        <w:t>z</w:t>
      </w:r>
      <w:r w:rsidR="006B46EE" w:rsidRPr="00D11549">
        <w:t xml:space="preserve">) × </w:t>
      </w:r>
      <w:r w:rsidR="006B46EE" w:rsidRPr="00D11549">
        <w:rPr>
          <w:rFonts w:ascii="Symbol" w:hAnsi="Symbol"/>
        </w:rPr>
        <w:t></w:t>
      </w:r>
      <w:r w:rsidR="006B46EE" w:rsidRPr="00D11549">
        <w:t xml:space="preserve">] / </w:t>
      </w:r>
      <w:r w:rsidR="00E55BBD" w:rsidRPr="00D11549">
        <w:t>(</w:t>
      </w:r>
      <w:r w:rsidR="009669BA" w:rsidRPr="00D11549">
        <w:rPr>
          <w:rFonts w:ascii="Symbol" w:hAnsi="Symbol"/>
        </w:rPr>
        <w:t></w:t>
      </w:r>
      <w:r w:rsidR="006B46EE" w:rsidRPr="00D11549">
        <w:t xml:space="preserve"> × </w:t>
      </w:r>
      <w:r w:rsidR="006B46EE" w:rsidRPr="00D74E6E">
        <w:t>Z</w:t>
      </w:r>
      <w:r w:rsidR="006B46EE" w:rsidRPr="00D74E6E">
        <w:rPr>
          <w:vertAlign w:val="subscript"/>
        </w:rPr>
        <w:t>0</w:t>
      </w:r>
      <w:r w:rsidR="006B46EE" w:rsidRPr="00D74E6E">
        <w:t xml:space="preserve"> × </w:t>
      </w:r>
      <w:r w:rsidR="001E1439" w:rsidRPr="00D74E6E">
        <w:t>k</w:t>
      </w:r>
      <w:r w:rsidR="006B46EE" w:rsidRPr="00D74E6E">
        <w:rPr>
          <w:vertAlign w:val="subscript"/>
        </w:rPr>
        <w:t>E</w:t>
      </w:r>
      <w:r w:rsidR="006B46EE" w:rsidRPr="00D74E6E">
        <w:t>²</w:t>
      </w:r>
      <w:r w:rsidR="00E55BBD" w:rsidRPr="00D74E6E">
        <w:t>)</w:t>
      </w:r>
    </w:p>
    <w:p w:rsidR="006B46EE" w:rsidRPr="00D74E6E" w:rsidRDefault="006B46EE" w:rsidP="00445318">
      <w:pPr>
        <w:ind w:firstLine="708"/>
      </w:pPr>
      <w:r w:rsidRPr="00D74E6E">
        <w:t>3. Substitute the numerical values</w:t>
      </w:r>
    </w:p>
    <w:p w:rsidR="006B46EE" w:rsidRPr="00D74E6E" w:rsidRDefault="000D5E3F" w:rsidP="00445318">
      <w:pPr>
        <w:ind w:firstLine="708"/>
      </w:pPr>
      <w:r w:rsidRPr="00D74E6E">
        <w:t>P</w:t>
      </w:r>
      <w:r w:rsidRPr="00D74E6E">
        <w:rPr>
          <w:vertAlign w:val="subscript"/>
        </w:rPr>
        <w:t>inc</w:t>
      </w:r>
      <w:r w:rsidR="006B46EE" w:rsidRPr="00D74E6E">
        <w:t xml:space="preserve"> = (0.2034 × 1050) / (0.9 × 376.73 × 0.06)</w:t>
      </w:r>
      <w:r w:rsidR="00B04AB7">
        <w:t xml:space="preserve"> </w:t>
      </w:r>
      <w:r w:rsidR="00B04AB7" w:rsidRPr="00D74E6E">
        <w:t>W/m²</w:t>
      </w:r>
    </w:p>
    <w:p w:rsidR="006B46EE" w:rsidRPr="00D74E6E" w:rsidRDefault="000D5E3F" w:rsidP="00445318">
      <w:pPr>
        <w:ind w:firstLine="708"/>
      </w:pPr>
      <w:r w:rsidRPr="00D74E6E">
        <w:t>P</w:t>
      </w:r>
      <w:r w:rsidRPr="00D74E6E">
        <w:rPr>
          <w:vertAlign w:val="subscript"/>
        </w:rPr>
        <w:t>inc</w:t>
      </w:r>
      <w:r w:rsidR="006B46EE" w:rsidRPr="00D74E6E">
        <w:t xml:space="preserve"> = 213.57 / 21.3</w:t>
      </w:r>
      <w:r w:rsidR="007B4C84" w:rsidRPr="00D74E6E">
        <w:t>6</w:t>
      </w:r>
      <w:r w:rsidR="00B04AB7">
        <w:t xml:space="preserve"> </w:t>
      </w:r>
      <w:r w:rsidR="00B04AB7" w:rsidRPr="00D74E6E">
        <w:t>W/m²</w:t>
      </w:r>
    </w:p>
    <w:p w:rsidR="006B46EE" w:rsidRPr="00D74E6E" w:rsidRDefault="000D5E3F" w:rsidP="00BA21BB">
      <w:pPr>
        <w:ind w:firstLine="708"/>
      </w:pPr>
      <w:r w:rsidRPr="00D74E6E">
        <w:t>P</w:t>
      </w:r>
      <w:r w:rsidRPr="00D74E6E">
        <w:rPr>
          <w:vertAlign w:val="subscript"/>
        </w:rPr>
        <w:t>inc</w:t>
      </w:r>
      <w:r w:rsidR="006B46EE" w:rsidRPr="00D74E6E">
        <w:t xml:space="preserve"> = 9.99</w:t>
      </w:r>
      <w:r w:rsidR="00F20BC6" w:rsidRPr="00D74E6E">
        <w:t>9</w:t>
      </w:r>
      <w:r w:rsidR="006B46EE" w:rsidRPr="00D74E6E">
        <w:t xml:space="preserve"> W/m² </w:t>
      </w:r>
      <w:r w:rsidR="00201905" w:rsidRPr="00D74E6E">
        <w:sym w:font="Symbol" w:char="F040"/>
      </w:r>
      <w:r w:rsidR="006B46EE" w:rsidRPr="00D74E6E">
        <w:t xml:space="preserve"> 10.0 W/m²</w:t>
      </w:r>
    </w:p>
    <w:p w:rsidR="006B46EE" w:rsidRPr="00D74E6E" w:rsidRDefault="006B46EE" w:rsidP="0075460F">
      <w:pPr>
        <w:ind w:firstLine="708"/>
        <w:rPr>
          <w:b/>
          <w:bCs/>
        </w:rPr>
      </w:pPr>
      <w:r w:rsidRPr="00D74E6E">
        <w:rPr>
          <w:b/>
          <w:bCs/>
        </w:rPr>
        <w:t>4. Interpretation and limitations</w:t>
      </w:r>
    </w:p>
    <w:p w:rsidR="006B46EE" w:rsidRPr="00D74E6E" w:rsidRDefault="006B46EE" w:rsidP="0075460F">
      <w:pPr>
        <w:ind w:left="708"/>
        <w:jc w:val="both"/>
      </w:pPr>
      <w:r w:rsidRPr="00D74E6E">
        <w:t>The result is approximately 10 W/m². The small deviation from exactly 10 W/m² arises from rounding</w:t>
      </w:r>
      <w:r w:rsidR="008C15DF" w:rsidRPr="00D74E6E">
        <w:t xml:space="preserve"> </w:t>
      </w:r>
      <w:r w:rsidRPr="00D74E6E">
        <w:t>the SAR and transmission coefficient</w:t>
      </w:r>
      <w:r w:rsidR="008C15DF" w:rsidRPr="00D74E6E">
        <w:t xml:space="preserve"> k</w:t>
      </w:r>
      <w:r w:rsidR="008C15DF" w:rsidRPr="00D74E6E">
        <w:rPr>
          <w:vertAlign w:val="subscript"/>
        </w:rPr>
        <w:t>E</w:t>
      </w:r>
      <w:r w:rsidRPr="00D74E6E">
        <w:t xml:space="preserve">. The 900 MHz frequency </w:t>
      </w:r>
      <w:r w:rsidR="00BA21BB" w:rsidRPr="00D74E6E">
        <w:t xml:space="preserve">has </w:t>
      </w:r>
      <w:r w:rsidR="006726EE" w:rsidRPr="00D74E6E">
        <w:t>been</w:t>
      </w:r>
      <w:r w:rsidRPr="00D74E6E">
        <w:t xml:space="preserve"> embodied in the assumed</w:t>
      </w:r>
      <w:r w:rsidR="00C63D5C" w:rsidRPr="00D74E6E">
        <w:t xml:space="preserve"> </w:t>
      </w:r>
      <w:r w:rsidRPr="00D74E6E">
        <w:t>tissue parameters</w:t>
      </w:r>
      <w:r w:rsidR="004B6060" w:rsidRPr="00D74E6E">
        <w:t xml:space="preserve"> </w:t>
      </w:r>
      <w:r w:rsidR="004B6060" w:rsidRPr="00D74E6E">
        <w:rPr>
          <w:rFonts w:ascii="Symbol" w:hAnsi="Symbol"/>
        </w:rPr>
        <w:t></w:t>
      </w:r>
      <w:r w:rsidR="004B6060" w:rsidRPr="00D74E6E">
        <w:rPr>
          <w:vertAlign w:val="subscript"/>
        </w:rPr>
        <w:t>t</w:t>
      </w:r>
      <w:r w:rsidRPr="00D74E6E">
        <w:t xml:space="preserve"> and transmission factor</w:t>
      </w:r>
      <w:r w:rsidR="00B36F0E" w:rsidRPr="00D74E6E">
        <w:t xml:space="preserve"> k</w:t>
      </w:r>
      <w:r w:rsidR="00B36F0E" w:rsidRPr="00D74E6E">
        <w:rPr>
          <w:vertAlign w:val="subscript"/>
        </w:rPr>
        <w:t>E</w:t>
      </w:r>
      <w:r w:rsidR="002D6F83" w:rsidRPr="00D74E6E">
        <w:t xml:space="preserve">. </w:t>
      </w:r>
    </w:p>
    <w:p w:rsidR="006B46EE" w:rsidRPr="00D74E6E" w:rsidRDefault="006B46EE" w:rsidP="0075460F">
      <w:pPr>
        <w:ind w:left="708"/>
        <w:jc w:val="both"/>
      </w:pPr>
      <w:r w:rsidRPr="00D74E6E">
        <w:t>This is an inverse calculation for local SAR immediately inside the surface (z = 0</w:t>
      </w:r>
      <w:r w:rsidRPr="00D74E6E">
        <w:rPr>
          <w:vertAlign w:val="superscript"/>
        </w:rPr>
        <w:t>+</w:t>
      </w:r>
      <w:r w:rsidRPr="00D74E6E">
        <w:t>). It is not a</w:t>
      </w:r>
      <w:r w:rsidR="00052811" w:rsidRPr="00D74E6E">
        <w:t xml:space="preserve"> </w:t>
      </w:r>
      <w:r w:rsidRPr="00D74E6E">
        <w:t xml:space="preserve">calculation of SAR averaged over 1 g, 10 g, or an entire organ. The factor </w:t>
      </w:r>
      <w:r w:rsidR="00B93E0E" w:rsidRPr="00D74E6E">
        <w:t>k</w:t>
      </w:r>
      <w:r w:rsidRPr="00D74E6E">
        <w:rPr>
          <w:vertAlign w:val="subscript"/>
        </w:rPr>
        <w:t>E</w:t>
      </w:r>
      <w:r w:rsidRPr="00D74E6E">
        <w:t>² = 0.063 is retaine</w:t>
      </w:r>
      <w:r w:rsidR="00BF5D1A" w:rsidRPr="00D74E6E">
        <w:t xml:space="preserve">d </w:t>
      </w:r>
      <w:r w:rsidRPr="00D74E6E">
        <w:t>deliberately to reproduce the original approximate example, rather than recomputed from dielectri</w:t>
      </w:r>
      <w:r w:rsidR="00B93E0E" w:rsidRPr="00D74E6E">
        <w:t xml:space="preserve">c </w:t>
      </w:r>
      <w:r w:rsidRPr="00D74E6E">
        <w:t>parameters.</w:t>
      </w:r>
    </w:p>
    <w:p w:rsidR="00D74E6E" w:rsidRPr="00D74E6E" w:rsidRDefault="006B46EE" w:rsidP="00D74E6E">
      <w:pPr>
        <w:ind w:left="708"/>
        <w:rPr>
          <w:b/>
          <w:bCs/>
        </w:rPr>
      </w:pPr>
      <w:r w:rsidRPr="00D74E6E">
        <w:t>Model assumptions: monochromatic plane wave, normal incidence, planar air–tissue interface,</w:t>
      </w:r>
      <w:r w:rsidR="00C90F3F" w:rsidRPr="00D74E6E">
        <w:t xml:space="preserve"> </w:t>
      </w:r>
      <w:r w:rsidRPr="00D74E6E">
        <w:t>homogeneous semi-infinite tissue, linear response, and no additional tissue layers</w:t>
      </w:r>
      <w:r w:rsidRPr="00D74E6E">
        <w:rPr>
          <w:b/>
          <w:bCs/>
        </w:rPr>
        <w:t>.</w:t>
      </w:r>
    </w:p>
    <w:p w:rsidR="001A65B2" w:rsidRPr="00D74E6E" w:rsidRDefault="00726C70" w:rsidP="00D74E6E">
      <w:pPr>
        <w:ind w:left="708"/>
        <w:rPr>
          <w:b/>
          <w:bCs/>
        </w:rPr>
      </w:pPr>
      <w:r w:rsidRPr="00D74E6E">
        <w:rPr>
          <w:b/>
          <w:bCs/>
        </w:rPr>
        <w:lastRenderedPageBreak/>
        <w:t>E</w:t>
      </w:r>
      <w:r w:rsidR="00C27037" w:rsidRPr="00D74E6E">
        <w:rPr>
          <w:b/>
          <w:bCs/>
        </w:rPr>
        <w:t>x</w:t>
      </w:r>
      <w:r w:rsidRPr="00D74E6E">
        <w:rPr>
          <w:b/>
          <w:bCs/>
        </w:rPr>
        <w:t>po</w:t>
      </w:r>
      <w:r w:rsidR="00C27037" w:rsidRPr="00D74E6E">
        <w:rPr>
          <w:b/>
          <w:bCs/>
        </w:rPr>
        <w:t>s</w:t>
      </w:r>
      <w:r w:rsidRPr="00D74E6E">
        <w:rPr>
          <w:b/>
          <w:bCs/>
        </w:rPr>
        <w:t xml:space="preserve">ure limits for partial exposure to </w:t>
      </w:r>
      <w:r w:rsidR="00C27037" w:rsidRPr="00D74E6E">
        <w:rPr>
          <w:b/>
          <w:bCs/>
        </w:rPr>
        <w:t xml:space="preserve">head </w:t>
      </w:r>
      <w:r w:rsidR="00635593" w:rsidRPr="00D74E6E">
        <w:rPr>
          <w:b/>
          <w:bCs/>
        </w:rPr>
        <w:t>and</w:t>
      </w:r>
      <w:r w:rsidR="00C27037" w:rsidRPr="00D74E6E">
        <w:rPr>
          <w:b/>
          <w:bCs/>
        </w:rPr>
        <w:t xml:space="preserve"> trunk </w:t>
      </w:r>
      <w:r w:rsidR="00635593" w:rsidRPr="00D74E6E">
        <w:rPr>
          <w:b/>
          <w:bCs/>
        </w:rPr>
        <w:t xml:space="preserve">starting from </w:t>
      </w:r>
      <w:r w:rsidR="001A65B2" w:rsidRPr="00D74E6E">
        <w:rPr>
          <w:b/>
          <w:bCs/>
        </w:rPr>
        <w:t>SAR</w:t>
      </w:r>
      <w:r w:rsidR="0075460F" w:rsidRPr="00D74E6E">
        <w:rPr>
          <w:b/>
          <w:bCs/>
        </w:rPr>
        <w:t>-limits</w:t>
      </w:r>
    </w:p>
    <w:p w:rsidR="00DE08D8" w:rsidRDefault="00D74E6E" w:rsidP="00473F82">
      <w:pPr>
        <w:ind w:left="708"/>
      </w:pPr>
      <w:r w:rsidRPr="00D74E6E">
        <w:t xml:space="preserve">Given the linearity of the relationship between SAR(f) and P(f), we can deduce a range of partial exposure limits EL from the SAR limits in (3), using (10). </w:t>
      </w:r>
      <w:r w:rsidR="00DE08D8" w:rsidRPr="00D74E6E">
        <w:t xml:space="preserve">Computing for a frequency of 900 MHz and a </w:t>
      </w:r>
      <w:r w:rsidR="00D23B3F" w:rsidRPr="00D74E6E">
        <w:t>null spessor of the target</w:t>
      </w:r>
      <w:r w:rsidR="001B4D8B" w:rsidRPr="00D74E6E">
        <w:t>, homogeneous semi-infinite tissue</w:t>
      </w:r>
      <w:r w:rsidR="005A4604" w:rsidRPr="00D74E6E">
        <w:t>, we get</w:t>
      </w:r>
      <w:r w:rsidR="00A33D79" w:rsidRPr="00D74E6E">
        <w:t xml:space="preserve"> the </w:t>
      </w:r>
      <w:r w:rsidR="00960A3F" w:rsidRPr="00D74E6E">
        <w:t>interval</w:t>
      </w:r>
      <w:r w:rsidR="001E15C3" w:rsidRPr="00D74E6E">
        <w:t xml:space="preserve"> (P</w:t>
      </w:r>
      <w:r w:rsidR="001E15C3" w:rsidRPr="00D74E6E">
        <w:rPr>
          <w:vertAlign w:val="subscript"/>
        </w:rPr>
        <w:t>1</w:t>
      </w:r>
      <w:r w:rsidR="001E15C3" w:rsidRPr="00D74E6E">
        <w:t>, P</w:t>
      </w:r>
      <w:r w:rsidR="001E15C3" w:rsidRPr="00D74E6E">
        <w:rPr>
          <w:vertAlign w:val="subscript"/>
        </w:rPr>
        <w:t>2</w:t>
      </w:r>
      <w:r w:rsidR="00C5348B" w:rsidRPr="00D74E6E">
        <w:t>), where</w:t>
      </w:r>
    </w:p>
    <w:p w:rsidR="004C4C9D" w:rsidRPr="00D74E6E" w:rsidRDefault="004C4C9D" w:rsidP="00473F82">
      <w:pPr>
        <w:ind w:left="708"/>
      </w:pPr>
    </w:p>
    <w:p w:rsidR="005A4604" w:rsidRPr="00D74E6E" w:rsidRDefault="00C5348B" w:rsidP="00940869">
      <w:pPr>
        <w:jc w:val="center"/>
      </w:pPr>
      <w:r w:rsidRPr="00D74E6E">
        <w:t>P</w:t>
      </w:r>
      <w:r w:rsidRPr="00784E47">
        <w:rPr>
          <w:vertAlign w:val="subscript"/>
        </w:rPr>
        <w:t>1</w:t>
      </w:r>
      <w:r w:rsidRPr="00D74E6E">
        <w:t xml:space="preserve">= </w:t>
      </w:r>
      <w:r w:rsidR="00211E87" w:rsidRPr="00D74E6E">
        <w:t>0</w:t>
      </w:r>
      <w:r w:rsidR="00E604A6" w:rsidRPr="00D74E6E">
        <w:t>.</w:t>
      </w:r>
      <w:r w:rsidR="00211E87" w:rsidRPr="00D74E6E">
        <w:t>06</w:t>
      </w:r>
      <w:r w:rsidR="00AF424E" w:rsidRPr="00D74E6E">
        <w:t>/0</w:t>
      </w:r>
      <w:r w:rsidR="00E604A6" w:rsidRPr="00D74E6E">
        <w:t>.</w:t>
      </w:r>
      <w:r w:rsidR="00AF424E" w:rsidRPr="00D74E6E">
        <w:t>2</w:t>
      </w:r>
      <w:r w:rsidR="00DA5BD5" w:rsidRPr="00D74E6E">
        <w:t xml:space="preserve"> </w:t>
      </w:r>
      <w:r w:rsidR="004045FC" w:rsidRPr="00D74E6E">
        <w:t>*</w:t>
      </w:r>
      <w:r w:rsidR="00DA5BD5" w:rsidRPr="00D74E6E">
        <w:t>10 W/m</w:t>
      </w:r>
      <w:r w:rsidR="00DA5BD5" w:rsidRPr="00D74E6E">
        <w:rPr>
          <w:vertAlign w:val="superscript"/>
        </w:rPr>
        <w:t>2</w:t>
      </w:r>
      <w:r w:rsidR="005002CE" w:rsidRPr="00D74E6E">
        <w:t xml:space="preserve"> </w:t>
      </w:r>
      <w:r w:rsidR="00B375B1" w:rsidRPr="00D74E6E">
        <w:t>= 3 W/</w:t>
      </w:r>
      <w:r w:rsidR="004508E0" w:rsidRPr="00D74E6E">
        <w:t xml:space="preserve"> m</w:t>
      </w:r>
      <w:r w:rsidR="004508E0" w:rsidRPr="00D74E6E">
        <w:rPr>
          <w:vertAlign w:val="superscript"/>
        </w:rPr>
        <w:t>2</w:t>
      </w:r>
    </w:p>
    <w:p w:rsidR="004508E0" w:rsidRPr="00D74E6E" w:rsidRDefault="004508E0" w:rsidP="00940869">
      <w:pPr>
        <w:jc w:val="center"/>
        <w:rPr>
          <w:vertAlign w:val="superscript"/>
        </w:rPr>
      </w:pPr>
      <w:r w:rsidRPr="00D74E6E">
        <w:t>P</w:t>
      </w:r>
      <w:r w:rsidRPr="00784E47">
        <w:rPr>
          <w:vertAlign w:val="subscript"/>
        </w:rPr>
        <w:t>2</w:t>
      </w:r>
      <w:r w:rsidRPr="00D74E6E">
        <w:t>= 0</w:t>
      </w:r>
      <w:r w:rsidR="00F54C90" w:rsidRPr="00D74E6E">
        <w:t>.</w:t>
      </w:r>
      <w:r w:rsidRPr="00D74E6E">
        <w:t>12</w:t>
      </w:r>
      <w:r w:rsidR="00BF03B5" w:rsidRPr="00D74E6E">
        <w:t>/0</w:t>
      </w:r>
      <w:r w:rsidR="00F54C90" w:rsidRPr="00D74E6E">
        <w:t>.</w:t>
      </w:r>
      <w:r w:rsidR="00BF03B5" w:rsidRPr="00D74E6E">
        <w:t>2 *10 W/m</w:t>
      </w:r>
      <w:r w:rsidR="00BF03B5" w:rsidRPr="00D74E6E">
        <w:rPr>
          <w:vertAlign w:val="superscript"/>
        </w:rPr>
        <w:t>2</w:t>
      </w:r>
      <w:r w:rsidR="00BF03B5" w:rsidRPr="00D74E6E">
        <w:t xml:space="preserve"> = </w:t>
      </w:r>
      <w:r w:rsidR="00206B8D" w:rsidRPr="00D74E6E">
        <w:t>6</w:t>
      </w:r>
      <w:r w:rsidR="00BF03B5" w:rsidRPr="00D74E6E">
        <w:t xml:space="preserve"> W/ m</w:t>
      </w:r>
      <w:r w:rsidR="00BF03B5" w:rsidRPr="00D74E6E">
        <w:rPr>
          <w:vertAlign w:val="superscript"/>
        </w:rPr>
        <w:t>2</w:t>
      </w:r>
    </w:p>
    <w:p w:rsidR="00E604A6" w:rsidRPr="00D74E6E" w:rsidRDefault="00D03BC7" w:rsidP="00E604A6">
      <w:pPr>
        <w:ind w:firstLine="708"/>
      </w:pPr>
      <w:r w:rsidRPr="00D74E6E">
        <w:t xml:space="preserve">i.e. </w:t>
      </w:r>
      <w:r w:rsidR="00C11CBE" w:rsidRPr="00D74E6E">
        <w:t>the range</w:t>
      </w:r>
    </w:p>
    <w:p w:rsidR="00B17A93" w:rsidRPr="00D74E6E" w:rsidRDefault="00C11CBE" w:rsidP="00A304AF">
      <w:pPr>
        <w:ind w:firstLine="708"/>
        <w:jc w:val="center"/>
      </w:pPr>
      <w:r w:rsidRPr="00D74E6E">
        <w:rPr>
          <w:b/>
          <w:bCs/>
        </w:rPr>
        <w:t>3</w:t>
      </w:r>
      <w:r w:rsidR="00206B8D" w:rsidRPr="00D74E6E">
        <w:rPr>
          <w:b/>
          <w:bCs/>
        </w:rPr>
        <w:t xml:space="preserve"> </w:t>
      </w:r>
      <w:r w:rsidR="006240CE" w:rsidRPr="00D74E6E">
        <w:rPr>
          <w:b/>
          <w:bCs/>
        </w:rPr>
        <w:t>W/m</w:t>
      </w:r>
      <w:r w:rsidR="006240CE" w:rsidRPr="00D74E6E">
        <w:rPr>
          <w:b/>
          <w:bCs/>
          <w:vertAlign w:val="superscript"/>
        </w:rPr>
        <w:t>2</w:t>
      </w:r>
      <w:r w:rsidR="00A91CB5" w:rsidRPr="00D74E6E">
        <w:rPr>
          <w:b/>
          <w:bCs/>
        </w:rPr>
        <w:sym w:font="Symbol" w:char="F0A3"/>
      </w:r>
      <w:r w:rsidR="00A91CB5" w:rsidRPr="00D74E6E">
        <w:rPr>
          <w:b/>
          <w:bCs/>
        </w:rPr>
        <w:t xml:space="preserve"> E</w:t>
      </w:r>
      <w:r w:rsidR="00EC78B6" w:rsidRPr="00D74E6E">
        <w:rPr>
          <w:b/>
          <w:bCs/>
        </w:rPr>
        <w:t xml:space="preserve">L </w:t>
      </w:r>
      <w:r w:rsidR="00EC78B6" w:rsidRPr="00D74E6E">
        <w:rPr>
          <w:b/>
          <w:bCs/>
        </w:rPr>
        <w:sym w:font="Symbol" w:char="F0A3"/>
      </w:r>
      <w:r w:rsidR="00EC78B6" w:rsidRPr="00D74E6E">
        <w:rPr>
          <w:b/>
          <w:bCs/>
        </w:rPr>
        <w:t xml:space="preserve"> 6 </w:t>
      </w:r>
      <w:r w:rsidR="00C524FD" w:rsidRPr="00D74E6E">
        <w:rPr>
          <w:b/>
          <w:bCs/>
        </w:rPr>
        <w:t>W/m</w:t>
      </w:r>
      <w:r w:rsidR="00C524FD" w:rsidRPr="00D74E6E">
        <w:rPr>
          <w:b/>
          <w:bCs/>
          <w:vertAlign w:val="superscript"/>
        </w:rPr>
        <w:t>2</w:t>
      </w:r>
      <w:r w:rsidR="00B17A93" w:rsidRPr="00D74E6E">
        <w:t xml:space="preserve"> </w:t>
      </w:r>
      <w:r w:rsidR="00D17319" w:rsidRPr="00D74E6E">
        <w:tab/>
        <w:t>(11)</w:t>
      </w:r>
    </w:p>
    <w:p w:rsidR="00940869" w:rsidRPr="00D74E6E" w:rsidRDefault="00D74E6E" w:rsidP="00B04AB7">
      <w:pPr>
        <w:ind w:firstLine="708"/>
      </w:pPr>
      <w:r w:rsidRPr="00D74E6E">
        <w:t>and coming back to the electric and magnetic fields at 900 MHz</w:t>
      </w:r>
    </w:p>
    <w:p w:rsidR="0082772A" w:rsidRPr="00D74E6E" w:rsidRDefault="00A304AF" w:rsidP="00343FC8">
      <w:pPr>
        <w:jc w:val="center"/>
        <w:rPr>
          <w:b/>
          <w:bCs/>
        </w:rPr>
      </w:pPr>
      <w:r>
        <w:rPr>
          <w:b/>
          <w:bCs/>
        </w:rPr>
        <w:t xml:space="preserve">     </w:t>
      </w:r>
      <w:r>
        <w:rPr>
          <w:b/>
          <w:bCs/>
        </w:rPr>
        <w:tab/>
        <w:t>33</w:t>
      </w:r>
      <w:r w:rsidR="00A1444F" w:rsidRPr="00D74E6E">
        <w:rPr>
          <w:b/>
          <w:bCs/>
        </w:rPr>
        <w:t>.</w:t>
      </w:r>
      <w:r w:rsidR="00BA200E" w:rsidRPr="00D74E6E">
        <w:rPr>
          <w:b/>
          <w:bCs/>
        </w:rPr>
        <w:t>6</w:t>
      </w:r>
      <w:r w:rsidR="00110434" w:rsidRPr="00D74E6E">
        <w:rPr>
          <w:b/>
          <w:bCs/>
        </w:rPr>
        <w:t xml:space="preserve"> </w:t>
      </w:r>
      <w:r w:rsidR="00C24E99" w:rsidRPr="00D74E6E">
        <w:rPr>
          <w:b/>
          <w:bCs/>
        </w:rPr>
        <w:t>V</w:t>
      </w:r>
      <w:r w:rsidR="00110434" w:rsidRPr="00D74E6E">
        <w:rPr>
          <w:b/>
          <w:bCs/>
        </w:rPr>
        <w:t>/m</w:t>
      </w:r>
      <w:r w:rsidR="00C24E99" w:rsidRPr="00D74E6E">
        <w:rPr>
          <w:b/>
          <w:bCs/>
          <w:vertAlign w:val="superscript"/>
        </w:rPr>
        <w:t xml:space="preserve"> </w:t>
      </w:r>
      <w:r w:rsidR="00110434" w:rsidRPr="00D74E6E">
        <w:rPr>
          <w:b/>
          <w:bCs/>
        </w:rPr>
        <w:sym w:font="Symbol" w:char="F0A3"/>
      </w:r>
      <w:r w:rsidR="00110434" w:rsidRPr="00D74E6E">
        <w:rPr>
          <w:b/>
          <w:bCs/>
        </w:rPr>
        <w:t xml:space="preserve"> EL</w:t>
      </w:r>
      <w:r w:rsidR="00F863A7" w:rsidRPr="00D74E6E">
        <w:rPr>
          <w:b/>
          <w:bCs/>
          <w:vertAlign w:val="subscript"/>
        </w:rPr>
        <w:t>E</w:t>
      </w:r>
      <w:r w:rsidR="00110434" w:rsidRPr="00D74E6E">
        <w:rPr>
          <w:b/>
          <w:bCs/>
        </w:rPr>
        <w:t xml:space="preserve"> </w:t>
      </w:r>
      <w:r w:rsidR="00110434" w:rsidRPr="00D74E6E">
        <w:rPr>
          <w:b/>
          <w:bCs/>
        </w:rPr>
        <w:sym w:font="Symbol" w:char="F0A3"/>
      </w:r>
      <w:r w:rsidR="00110434" w:rsidRPr="00D74E6E">
        <w:rPr>
          <w:b/>
          <w:bCs/>
        </w:rPr>
        <w:t xml:space="preserve"> </w:t>
      </w:r>
      <w:r>
        <w:rPr>
          <w:b/>
          <w:bCs/>
        </w:rPr>
        <w:t>47.5</w:t>
      </w:r>
      <w:r w:rsidR="008B03F9" w:rsidRPr="00D74E6E">
        <w:rPr>
          <w:b/>
          <w:bCs/>
        </w:rPr>
        <w:t xml:space="preserve"> V/m</w:t>
      </w:r>
      <w:r w:rsidR="008B03F9" w:rsidRPr="00D74E6E">
        <w:rPr>
          <w:b/>
          <w:bCs/>
        </w:rPr>
        <w:tab/>
      </w:r>
      <w:r w:rsidR="008B03F9" w:rsidRPr="00D74E6E">
        <w:rPr>
          <w:b/>
          <w:bCs/>
        </w:rPr>
        <w:tab/>
      </w:r>
      <w:r w:rsidR="0022301F" w:rsidRPr="00D74E6E">
        <w:rPr>
          <w:b/>
          <w:bCs/>
        </w:rPr>
        <w:t>(11’)</w:t>
      </w:r>
    </w:p>
    <w:p w:rsidR="00F863A7" w:rsidRPr="00D74E6E" w:rsidRDefault="00B83B08" w:rsidP="00F863A7">
      <w:pPr>
        <w:jc w:val="center"/>
        <w:rPr>
          <w:b/>
          <w:bCs/>
        </w:rPr>
      </w:pPr>
      <w:r w:rsidRPr="00D74E6E">
        <w:rPr>
          <w:b/>
          <w:bCs/>
        </w:rPr>
        <w:t xml:space="preserve">   </w:t>
      </w:r>
      <w:r w:rsidR="00A304AF">
        <w:rPr>
          <w:b/>
          <w:bCs/>
        </w:rPr>
        <w:tab/>
      </w:r>
      <w:r w:rsidR="00F863A7" w:rsidRPr="00D74E6E">
        <w:rPr>
          <w:b/>
          <w:bCs/>
        </w:rPr>
        <w:t>0</w:t>
      </w:r>
      <w:r w:rsidR="00A1444F" w:rsidRPr="00D74E6E">
        <w:rPr>
          <w:b/>
          <w:bCs/>
        </w:rPr>
        <w:t>.</w:t>
      </w:r>
      <w:r w:rsidR="00BC6720" w:rsidRPr="00D74E6E">
        <w:rPr>
          <w:b/>
          <w:bCs/>
        </w:rPr>
        <w:t>0</w:t>
      </w:r>
      <w:r w:rsidR="00A304AF">
        <w:rPr>
          <w:b/>
          <w:bCs/>
        </w:rPr>
        <w:t>89</w:t>
      </w:r>
      <w:r w:rsidR="00F863A7" w:rsidRPr="00D74E6E">
        <w:rPr>
          <w:b/>
          <w:bCs/>
        </w:rPr>
        <w:t xml:space="preserve"> </w:t>
      </w:r>
      <w:r w:rsidR="00D46A1F" w:rsidRPr="00D74E6E">
        <w:rPr>
          <w:b/>
          <w:bCs/>
        </w:rPr>
        <w:t>A</w:t>
      </w:r>
      <w:r w:rsidR="00F863A7" w:rsidRPr="00D74E6E">
        <w:rPr>
          <w:b/>
          <w:bCs/>
        </w:rPr>
        <w:t>/m</w:t>
      </w:r>
      <w:r w:rsidR="00F863A7" w:rsidRPr="00D74E6E">
        <w:rPr>
          <w:b/>
          <w:bCs/>
          <w:vertAlign w:val="superscript"/>
        </w:rPr>
        <w:t xml:space="preserve"> </w:t>
      </w:r>
      <w:r w:rsidR="00F863A7" w:rsidRPr="00D74E6E">
        <w:rPr>
          <w:b/>
          <w:bCs/>
        </w:rPr>
        <w:sym w:font="Symbol" w:char="F0A3"/>
      </w:r>
      <w:r w:rsidR="00F863A7" w:rsidRPr="00D74E6E">
        <w:rPr>
          <w:b/>
          <w:bCs/>
        </w:rPr>
        <w:t xml:space="preserve"> EL</w:t>
      </w:r>
      <w:r w:rsidR="00F863A7" w:rsidRPr="00D74E6E">
        <w:rPr>
          <w:b/>
          <w:bCs/>
          <w:vertAlign w:val="subscript"/>
        </w:rPr>
        <w:t>H</w:t>
      </w:r>
      <w:r w:rsidR="00F863A7" w:rsidRPr="00D74E6E">
        <w:rPr>
          <w:b/>
          <w:bCs/>
        </w:rPr>
        <w:t xml:space="preserve"> </w:t>
      </w:r>
      <w:r w:rsidR="00F863A7" w:rsidRPr="00D74E6E">
        <w:rPr>
          <w:b/>
          <w:bCs/>
        </w:rPr>
        <w:sym w:font="Symbol" w:char="F0A3"/>
      </w:r>
      <w:r w:rsidR="00F863A7" w:rsidRPr="00D74E6E">
        <w:rPr>
          <w:b/>
          <w:bCs/>
        </w:rPr>
        <w:t xml:space="preserve"> </w:t>
      </w:r>
      <w:r w:rsidR="00A114FC" w:rsidRPr="00D74E6E">
        <w:rPr>
          <w:b/>
          <w:bCs/>
        </w:rPr>
        <w:t>0</w:t>
      </w:r>
      <w:r w:rsidR="00A1444F" w:rsidRPr="00D74E6E">
        <w:rPr>
          <w:b/>
          <w:bCs/>
        </w:rPr>
        <w:t>.</w:t>
      </w:r>
      <w:r w:rsidR="00A304AF">
        <w:rPr>
          <w:b/>
          <w:bCs/>
        </w:rPr>
        <w:t>126</w:t>
      </w:r>
      <w:r w:rsidR="00F863A7" w:rsidRPr="00D74E6E">
        <w:rPr>
          <w:b/>
          <w:bCs/>
        </w:rPr>
        <w:t xml:space="preserve"> </w:t>
      </w:r>
      <w:r w:rsidRPr="00D74E6E">
        <w:rPr>
          <w:b/>
          <w:bCs/>
        </w:rPr>
        <w:t>A</w:t>
      </w:r>
      <w:r w:rsidR="00F863A7" w:rsidRPr="00D74E6E">
        <w:rPr>
          <w:b/>
          <w:bCs/>
        </w:rPr>
        <w:t>/m</w:t>
      </w:r>
      <w:r w:rsidR="00F863A7" w:rsidRPr="00D74E6E">
        <w:rPr>
          <w:b/>
          <w:bCs/>
        </w:rPr>
        <w:tab/>
        <w:t>(11</w:t>
      </w:r>
      <w:r w:rsidRPr="00D74E6E">
        <w:rPr>
          <w:b/>
          <w:bCs/>
        </w:rPr>
        <w:t>”</w:t>
      </w:r>
      <w:r w:rsidR="00F863A7" w:rsidRPr="00D74E6E">
        <w:rPr>
          <w:b/>
          <w:bCs/>
        </w:rPr>
        <w:t>)</w:t>
      </w:r>
      <w:r w:rsidR="00A2725E" w:rsidRPr="00D74E6E">
        <w:rPr>
          <w:b/>
          <w:bCs/>
        </w:rPr>
        <w:t>.</w:t>
      </w:r>
    </w:p>
    <w:p w:rsidR="00A85DB2" w:rsidRDefault="00B677DD" w:rsidP="008D26EB">
      <w:pPr>
        <w:ind w:left="708"/>
      </w:pPr>
      <w:r w:rsidRPr="00D74E6E">
        <w:t xml:space="preserve">(11’) and (11”) </w:t>
      </w:r>
      <w:r w:rsidR="001753BD" w:rsidRPr="00D74E6E">
        <w:t xml:space="preserve">appear to be simultaneous exposure limits to be respected in </w:t>
      </w:r>
      <w:r w:rsidR="00FA2796" w:rsidRPr="00D74E6E">
        <w:t xml:space="preserve">reactive Near Field </w:t>
      </w:r>
      <w:r w:rsidR="00A85DB2" w:rsidRPr="00D74E6E">
        <w:t>of an antenna emitting 900 MHz.</w:t>
      </w:r>
    </w:p>
    <w:p w:rsidR="004C4C9D" w:rsidRPr="004C4C9D" w:rsidRDefault="004C4C9D" w:rsidP="008D26EB">
      <w:pPr>
        <w:ind w:left="708"/>
        <w:rPr>
          <w:u w:val="single"/>
        </w:rPr>
      </w:pPr>
      <w:r w:rsidRPr="004C4C9D">
        <w:rPr>
          <w:u w:val="single"/>
        </w:rPr>
        <w:t xml:space="preserve">Taking in count the NTP result for the exposures at 1.5 W/Kg, we </w:t>
      </w:r>
      <w:r w:rsidR="005C63F5">
        <w:rPr>
          <w:u w:val="single"/>
        </w:rPr>
        <w:t>recommend the</w:t>
      </w:r>
      <w:r w:rsidRPr="004C4C9D">
        <w:rPr>
          <w:u w:val="single"/>
        </w:rPr>
        <w:t xml:space="preserve"> adopt</w:t>
      </w:r>
      <w:r w:rsidR="005C63F5">
        <w:rPr>
          <w:u w:val="single"/>
        </w:rPr>
        <w:t>ion of</w:t>
      </w:r>
      <w:r w:rsidRPr="004C4C9D">
        <w:rPr>
          <w:u w:val="single"/>
        </w:rPr>
        <w:t xml:space="preserve"> the EL close to the lowes</w:t>
      </w:r>
      <w:r w:rsidR="005C63F5">
        <w:rPr>
          <w:u w:val="single"/>
        </w:rPr>
        <w:t>t</w:t>
      </w:r>
      <w:r w:rsidRPr="004C4C9D">
        <w:rPr>
          <w:u w:val="single"/>
        </w:rPr>
        <w:t xml:space="preserve"> value </w:t>
      </w:r>
      <w:r w:rsidR="005C63F5">
        <w:rPr>
          <w:u w:val="single"/>
        </w:rPr>
        <w:t>in</w:t>
      </w:r>
      <w:r w:rsidRPr="004C4C9D">
        <w:rPr>
          <w:u w:val="single"/>
        </w:rPr>
        <w:t xml:space="preserve"> the range, as a cutionary measure.</w:t>
      </w:r>
    </w:p>
    <w:p w:rsidR="00A2725E" w:rsidRPr="00D74E6E" w:rsidRDefault="00A85DB2" w:rsidP="008D26EB">
      <w:pPr>
        <w:ind w:left="708"/>
      </w:pPr>
      <w:r w:rsidRPr="00D74E6E">
        <w:t xml:space="preserve">In the same way </w:t>
      </w:r>
      <w:r w:rsidR="0074377E" w:rsidRPr="00D74E6E">
        <w:t>the ranges for L and EL</w:t>
      </w:r>
      <w:r w:rsidR="002B47A3" w:rsidRPr="00D74E6E">
        <w:t>, EL</w:t>
      </w:r>
      <w:r w:rsidR="002B47A3" w:rsidRPr="00D74E6E">
        <w:rPr>
          <w:vertAlign w:val="subscript"/>
        </w:rPr>
        <w:t xml:space="preserve">E, </w:t>
      </w:r>
      <w:r w:rsidR="005B626E" w:rsidRPr="00D74E6E">
        <w:t>EL</w:t>
      </w:r>
      <w:r w:rsidR="005B626E" w:rsidRPr="00D74E6E">
        <w:rPr>
          <w:vertAlign w:val="subscript"/>
        </w:rPr>
        <w:t>H</w:t>
      </w:r>
      <w:r w:rsidR="0074377E" w:rsidRPr="00D74E6E">
        <w:t xml:space="preserve"> </w:t>
      </w:r>
      <w:r w:rsidR="005B626E" w:rsidRPr="00D74E6E">
        <w:t xml:space="preserve">depending on other frequencies </w:t>
      </w:r>
      <w:r w:rsidR="00273D28" w:rsidRPr="00D74E6E">
        <w:t xml:space="preserve">between 100 MHz and 100 GHz </w:t>
      </w:r>
      <w:r w:rsidR="0074377E" w:rsidRPr="00D74E6E">
        <w:t>can be</w:t>
      </w:r>
      <w:r w:rsidR="00273D28" w:rsidRPr="00D74E6E">
        <w:t xml:space="preserve"> deduced</w:t>
      </w:r>
      <w:r w:rsidR="00473F82" w:rsidRPr="00D74E6E">
        <w:t>.</w:t>
      </w:r>
    </w:p>
    <w:p w:rsidR="008D26EB" w:rsidRPr="00D74E6E" w:rsidRDefault="00563B0B" w:rsidP="008D26EB">
      <w:pPr>
        <w:rPr>
          <w:b/>
          <w:bCs/>
        </w:rPr>
      </w:pPr>
      <w:r w:rsidRPr="00D74E6E">
        <w:rPr>
          <w:b/>
          <w:bCs/>
        </w:rPr>
        <w:t>Conclusion</w:t>
      </w:r>
    </w:p>
    <w:p w:rsidR="001339C7" w:rsidRPr="00D74E6E" w:rsidRDefault="00D74E6E" w:rsidP="00A339F8">
      <w:pPr>
        <w:jc w:val="both"/>
        <w:rPr>
          <w:b/>
          <w:bCs/>
        </w:rPr>
      </w:pPr>
      <w:r>
        <w:t>Since the carcinogenic bioassays of the US NTP of NIEHS and the Ramazzini Institute have proven that there are non-thermal adverse effects of NIR on humans, it is urgent to establish human exposure limits and dosimetric limits for RFs. Such limits shall be interim ceiling values until the mechanisms of interaction between electromagnetic fields and living matter are fully clarified. Every delay will cause the occurrence of tumours in several human cases, such as those that have been ascertained by courts in several countries around the world, and the occurrence not only of many diseases related to tumours but also of atypical syndromes such as Electromagnetic Hypersensitivity (EHS) worldwide.</w:t>
      </w:r>
    </w:p>
    <w:p w:rsidR="00926127" w:rsidRPr="00D74E6E" w:rsidRDefault="00926127" w:rsidP="00A339F8">
      <w:pPr>
        <w:jc w:val="both"/>
        <w:rPr>
          <w:b/>
          <w:bCs/>
        </w:rPr>
      </w:pPr>
      <w:r w:rsidRPr="00D74E6E">
        <w:rPr>
          <w:b/>
          <w:bCs/>
        </w:rPr>
        <w:t>Venice, 20 ottobre 2026</w:t>
      </w:r>
    </w:p>
    <w:p w:rsidR="00926127" w:rsidRPr="00D74E6E" w:rsidRDefault="00926127" w:rsidP="006C38DC">
      <w:pPr>
        <w:spacing w:after="0"/>
        <w:jc w:val="both"/>
      </w:pPr>
      <w:r w:rsidRPr="00D74E6E">
        <w:t>Livio Giuliani</w:t>
      </w:r>
      <w:r w:rsidR="00DC6E9C" w:rsidRPr="00D74E6E">
        <w:t>, PhD</w:t>
      </w:r>
    </w:p>
    <w:p w:rsidR="00926127" w:rsidRPr="00D74E6E" w:rsidRDefault="00926127" w:rsidP="006C38DC">
      <w:pPr>
        <w:spacing w:after="0"/>
        <w:jc w:val="both"/>
      </w:pPr>
      <w:r w:rsidRPr="00D74E6E">
        <w:t>Morando Soffritti</w:t>
      </w:r>
      <w:r w:rsidR="00DC6E9C" w:rsidRPr="00D74E6E">
        <w:t>, MD</w:t>
      </w:r>
    </w:p>
    <w:p w:rsidR="00926127" w:rsidRPr="00D74E6E" w:rsidRDefault="00926127" w:rsidP="006C38DC">
      <w:pPr>
        <w:spacing w:after="0"/>
      </w:pPr>
      <w:r w:rsidRPr="00D74E6E">
        <w:t>Fiorenzo Marinelli</w:t>
      </w:r>
      <w:r w:rsidR="00DC6E9C" w:rsidRPr="00D74E6E">
        <w:t>, PhD</w:t>
      </w:r>
    </w:p>
    <w:p w:rsidR="00926127" w:rsidRPr="00D74E6E" w:rsidRDefault="0093460C" w:rsidP="006C38DC">
      <w:pPr>
        <w:spacing w:after="0"/>
      </w:pPr>
      <w:r w:rsidRPr="00D74E6E">
        <w:t>Raoul Saggini</w:t>
      </w:r>
      <w:r w:rsidR="00DC6E9C" w:rsidRPr="00D74E6E">
        <w:t>, MD</w:t>
      </w:r>
    </w:p>
    <w:p w:rsidR="00464378" w:rsidRPr="00D74E6E" w:rsidRDefault="00F04985" w:rsidP="006C38DC">
      <w:pPr>
        <w:spacing w:after="0"/>
      </w:pPr>
      <w:r w:rsidRPr="00D74E6E">
        <w:t>Pierre Madl</w:t>
      </w:r>
      <w:r w:rsidR="00DC6E9C" w:rsidRPr="00D74E6E">
        <w:t>, PhD</w:t>
      </w:r>
    </w:p>
    <w:p w:rsidR="00F04985" w:rsidRPr="00D74E6E" w:rsidRDefault="00F04985" w:rsidP="006C38DC">
      <w:pPr>
        <w:spacing w:after="0"/>
      </w:pPr>
      <w:r w:rsidRPr="00D74E6E">
        <w:lastRenderedPageBreak/>
        <w:t>Nikolaj Blom</w:t>
      </w:r>
      <w:r w:rsidR="00DC6E9C" w:rsidRPr="00D74E6E">
        <w:t>, P</w:t>
      </w:r>
      <w:r w:rsidR="000948C3" w:rsidRPr="00D74E6E">
        <w:t>hD</w:t>
      </w:r>
    </w:p>
    <w:p w:rsidR="0093460C" w:rsidRPr="00D74E6E" w:rsidRDefault="0093460C" w:rsidP="006C38DC">
      <w:pPr>
        <w:spacing w:after="0"/>
      </w:pPr>
      <w:r w:rsidRPr="00D74E6E">
        <w:t>Claudio Poggi</w:t>
      </w:r>
      <w:r w:rsidR="000948C3" w:rsidRPr="00D74E6E">
        <w:t>, PhD</w:t>
      </w:r>
    </w:p>
    <w:p w:rsidR="0093460C" w:rsidRPr="00D74E6E" w:rsidRDefault="0093460C" w:rsidP="006C38DC">
      <w:pPr>
        <w:spacing w:after="0"/>
      </w:pPr>
      <w:r w:rsidRPr="00D74E6E">
        <w:t>Oriana Chisté</w:t>
      </w:r>
      <w:r w:rsidR="000948C3" w:rsidRPr="00D74E6E">
        <w:t>, MD</w:t>
      </w:r>
    </w:p>
    <w:p w:rsidR="0093460C" w:rsidRPr="00D74E6E" w:rsidRDefault="001203ED" w:rsidP="006C38DC">
      <w:pPr>
        <w:spacing w:after="0"/>
      </w:pPr>
      <w:r w:rsidRPr="00D74E6E">
        <w:t>Florian Koenig</w:t>
      </w:r>
      <w:r w:rsidR="000948C3" w:rsidRPr="00D74E6E">
        <w:t>, PhD</w:t>
      </w:r>
    </w:p>
    <w:p w:rsidR="001203ED" w:rsidRDefault="00DC6E9C" w:rsidP="004C4C9D">
      <w:pPr>
        <w:spacing w:after="0"/>
      </w:pPr>
      <w:r w:rsidRPr="00D74E6E">
        <w:t>Massimo Rogante</w:t>
      </w:r>
      <w:r w:rsidR="000948C3" w:rsidRPr="00D74E6E">
        <w:t>, PhD</w:t>
      </w:r>
    </w:p>
    <w:p w:rsidR="0020221B" w:rsidRPr="00D74E6E" w:rsidRDefault="0020221B" w:rsidP="004C4C9D">
      <w:pPr>
        <w:spacing w:after="0"/>
      </w:pPr>
      <w:r>
        <w:t>Matteo Vitali, MD</w:t>
      </w:r>
    </w:p>
    <w:p w:rsidR="00EA0D20" w:rsidRPr="00F863A7" w:rsidRDefault="00EA0D20" w:rsidP="00343FC8">
      <w:pPr>
        <w:jc w:val="center"/>
        <w:rPr>
          <w:sz w:val="28"/>
          <w:szCs w:val="28"/>
          <w:vertAlign w:val="subscript"/>
        </w:rPr>
      </w:pPr>
    </w:p>
    <w:sectPr w:rsidR="00EA0D20" w:rsidRPr="00F863A7" w:rsidSect="005F06DD">
      <w:headerReference w:type="default" r:id="rId14"/>
      <w:footerReference w:type="default" r:id="rId15"/>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5ABB" w:rsidRDefault="00F95ABB" w:rsidP="00485B19">
      <w:pPr>
        <w:spacing w:after="0" w:line="240" w:lineRule="auto"/>
      </w:pPr>
      <w:r>
        <w:separator/>
      </w:r>
    </w:p>
  </w:endnote>
  <w:endnote w:type="continuationSeparator" w:id="0">
    <w:p w:rsidR="00F95ABB" w:rsidRDefault="00F95ABB" w:rsidP="00485B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028639"/>
      <w:docPartObj>
        <w:docPartGallery w:val="Page Numbers (Bottom of Page)"/>
        <w:docPartUnique/>
      </w:docPartObj>
    </w:sdtPr>
    <w:sdtContent>
      <w:p w:rsidR="00485B19" w:rsidRDefault="00465ED5">
        <w:pPr>
          <w:pStyle w:val="Pidipagina"/>
          <w:jc w:val="center"/>
        </w:pPr>
        <w:r>
          <w:fldChar w:fldCharType="begin"/>
        </w:r>
        <w:r w:rsidR="00485B19">
          <w:instrText>PAGE   \* MERGEFORMAT</w:instrText>
        </w:r>
        <w:r>
          <w:fldChar w:fldCharType="separate"/>
        </w:r>
        <w:r w:rsidR="008E480F">
          <w:rPr>
            <w:noProof/>
          </w:rPr>
          <w:t>10</w:t>
        </w:r>
        <w:r>
          <w:fldChar w:fldCharType="end"/>
        </w:r>
      </w:p>
    </w:sdtContent>
  </w:sdt>
  <w:p w:rsidR="00485B19" w:rsidRDefault="00485B19">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5ABB" w:rsidRDefault="00F95ABB" w:rsidP="00485B19">
      <w:pPr>
        <w:spacing w:after="0" w:line="240" w:lineRule="auto"/>
      </w:pPr>
      <w:r>
        <w:separator/>
      </w:r>
    </w:p>
  </w:footnote>
  <w:footnote w:type="continuationSeparator" w:id="0">
    <w:p w:rsidR="00F95ABB" w:rsidRDefault="00F95ABB" w:rsidP="00485B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B19" w:rsidRDefault="00465ED5">
    <w:pPr>
      <w:pStyle w:val="Intestazione"/>
    </w:pPr>
    <w:hyperlink r:id="rId1" w:history="1">
      <w:r w:rsidR="007875DC" w:rsidRPr="00CD3218">
        <w:rPr>
          <w:rStyle w:val="Collegamentoipertestuale"/>
        </w:rPr>
        <w:t>www.icems.eu</w:t>
      </w:r>
    </w:hyperlink>
    <w:r w:rsidR="007875DC">
      <w:tab/>
    </w:r>
    <w:r w:rsidR="007875DC">
      <w:tab/>
      <w:t>Venice, Viale Venezia 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A24C7"/>
    <w:multiLevelType w:val="hybridMultilevel"/>
    <w:tmpl w:val="B426BED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nsid w:val="47013705"/>
    <w:multiLevelType w:val="multilevel"/>
    <w:tmpl w:val="EF44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C501BF"/>
    <w:multiLevelType w:val="hybridMultilevel"/>
    <w:tmpl w:val="317CCAA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nsid w:val="55556E82"/>
    <w:multiLevelType w:val="hybridMultilevel"/>
    <w:tmpl w:val="9C108D2A"/>
    <w:lvl w:ilvl="0" w:tplc="622E0A4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575B0B3B"/>
    <w:multiLevelType w:val="multilevel"/>
    <w:tmpl w:val="0D82B9B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
    <w:nsid w:val="5F434D33"/>
    <w:multiLevelType w:val="hybridMultilevel"/>
    <w:tmpl w:val="3B6C13D0"/>
    <w:lvl w:ilvl="0" w:tplc="021661CE">
      <w:start w:val="2"/>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
    <w:nsid w:val="62774016"/>
    <w:multiLevelType w:val="hybridMultilevel"/>
    <w:tmpl w:val="7D7A128E"/>
    <w:lvl w:ilvl="0" w:tplc="B77A55EC">
      <w:start w:val="4"/>
      <w:numFmt w:val="decimal"/>
      <w:lvlText w:val="%1."/>
      <w:lvlJc w:val="left"/>
      <w:pPr>
        <w:ind w:left="106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690D6D62"/>
    <w:multiLevelType w:val="hybridMultilevel"/>
    <w:tmpl w:val="EBC69E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71C445FA"/>
    <w:multiLevelType w:val="multilevel"/>
    <w:tmpl w:val="9D1CD824"/>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7B56679A"/>
    <w:multiLevelType w:val="hybridMultilevel"/>
    <w:tmpl w:val="8AC4F8D6"/>
    <w:lvl w:ilvl="0" w:tplc="3B3A95D0">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7D9F2003"/>
    <w:multiLevelType w:val="multilevel"/>
    <w:tmpl w:val="89F049BC"/>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7"/>
  </w:num>
  <w:num w:numId="2">
    <w:abstractNumId w:val="0"/>
  </w:num>
  <w:num w:numId="3">
    <w:abstractNumId w:val="2"/>
  </w:num>
  <w:num w:numId="4">
    <w:abstractNumId w:val="4"/>
  </w:num>
  <w:num w:numId="5">
    <w:abstractNumId w:val="9"/>
  </w:num>
  <w:num w:numId="6">
    <w:abstractNumId w:val="3"/>
  </w:num>
  <w:num w:numId="7">
    <w:abstractNumId w:val="5"/>
  </w:num>
  <w:num w:numId="8">
    <w:abstractNumId w:val="6"/>
  </w:num>
  <w:num w:numId="9">
    <w:abstractNumId w:val="1"/>
  </w:num>
  <w:num w:numId="10">
    <w:abstractNumId w:val="10"/>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hideSpellingErrors/>
  <w:defaultTabStop w:val="708"/>
  <w:hyphenationZone w:val="283"/>
  <w:characterSpacingControl w:val="doNotCompress"/>
  <w:footnotePr>
    <w:footnote w:id="-1"/>
    <w:footnote w:id="0"/>
  </w:footnotePr>
  <w:endnotePr>
    <w:endnote w:id="-1"/>
    <w:endnote w:id="0"/>
  </w:endnotePr>
  <w:compat/>
  <w:rsids>
    <w:rsidRoot w:val="00796133"/>
    <w:rsid w:val="00000104"/>
    <w:rsid w:val="00005ACC"/>
    <w:rsid w:val="00007C98"/>
    <w:rsid w:val="00011559"/>
    <w:rsid w:val="000154E9"/>
    <w:rsid w:val="000223D5"/>
    <w:rsid w:val="00024240"/>
    <w:rsid w:val="00033641"/>
    <w:rsid w:val="000443AB"/>
    <w:rsid w:val="000445F5"/>
    <w:rsid w:val="00046000"/>
    <w:rsid w:val="0005267F"/>
    <w:rsid w:val="00052811"/>
    <w:rsid w:val="000577D9"/>
    <w:rsid w:val="00065912"/>
    <w:rsid w:val="000670E6"/>
    <w:rsid w:val="00071293"/>
    <w:rsid w:val="00076EDC"/>
    <w:rsid w:val="00081604"/>
    <w:rsid w:val="00085C73"/>
    <w:rsid w:val="0009074A"/>
    <w:rsid w:val="00092E35"/>
    <w:rsid w:val="0009349D"/>
    <w:rsid w:val="000948C3"/>
    <w:rsid w:val="00096F4D"/>
    <w:rsid w:val="000A0738"/>
    <w:rsid w:val="000A2902"/>
    <w:rsid w:val="000A48A3"/>
    <w:rsid w:val="000A6194"/>
    <w:rsid w:val="000B05F3"/>
    <w:rsid w:val="000B2440"/>
    <w:rsid w:val="000B29FB"/>
    <w:rsid w:val="000C3F7C"/>
    <w:rsid w:val="000D24E4"/>
    <w:rsid w:val="000D277E"/>
    <w:rsid w:val="000D5E3F"/>
    <w:rsid w:val="000D7380"/>
    <w:rsid w:val="000E1130"/>
    <w:rsid w:val="000E699D"/>
    <w:rsid w:val="000F440B"/>
    <w:rsid w:val="000F4C90"/>
    <w:rsid w:val="000F4F18"/>
    <w:rsid w:val="000F6005"/>
    <w:rsid w:val="0010025B"/>
    <w:rsid w:val="001008EB"/>
    <w:rsid w:val="001045A2"/>
    <w:rsid w:val="001075EC"/>
    <w:rsid w:val="00107DE5"/>
    <w:rsid w:val="0011028A"/>
    <w:rsid w:val="00110434"/>
    <w:rsid w:val="00116071"/>
    <w:rsid w:val="00116DD1"/>
    <w:rsid w:val="001203ED"/>
    <w:rsid w:val="00124FA2"/>
    <w:rsid w:val="00130F1F"/>
    <w:rsid w:val="00130F6C"/>
    <w:rsid w:val="001339C7"/>
    <w:rsid w:val="00135311"/>
    <w:rsid w:val="00136DEC"/>
    <w:rsid w:val="001375A0"/>
    <w:rsid w:val="00137B8A"/>
    <w:rsid w:val="00137E92"/>
    <w:rsid w:val="00140357"/>
    <w:rsid w:val="00143A17"/>
    <w:rsid w:val="00147C70"/>
    <w:rsid w:val="00152586"/>
    <w:rsid w:val="00153698"/>
    <w:rsid w:val="00154E03"/>
    <w:rsid w:val="00165B21"/>
    <w:rsid w:val="00171022"/>
    <w:rsid w:val="001743CC"/>
    <w:rsid w:val="001753BD"/>
    <w:rsid w:val="00184092"/>
    <w:rsid w:val="001855D7"/>
    <w:rsid w:val="00187D31"/>
    <w:rsid w:val="00187FDF"/>
    <w:rsid w:val="00192D19"/>
    <w:rsid w:val="001938FD"/>
    <w:rsid w:val="00195303"/>
    <w:rsid w:val="00196CA5"/>
    <w:rsid w:val="00196CB3"/>
    <w:rsid w:val="001A221C"/>
    <w:rsid w:val="001A3773"/>
    <w:rsid w:val="001A4A9E"/>
    <w:rsid w:val="001A65B2"/>
    <w:rsid w:val="001A7234"/>
    <w:rsid w:val="001B4D8B"/>
    <w:rsid w:val="001B5701"/>
    <w:rsid w:val="001B5EC1"/>
    <w:rsid w:val="001C1DE9"/>
    <w:rsid w:val="001C302A"/>
    <w:rsid w:val="001C32D7"/>
    <w:rsid w:val="001C405B"/>
    <w:rsid w:val="001C4868"/>
    <w:rsid w:val="001D0826"/>
    <w:rsid w:val="001D249C"/>
    <w:rsid w:val="001E1439"/>
    <w:rsid w:val="001E15C3"/>
    <w:rsid w:val="001E388A"/>
    <w:rsid w:val="001E39B9"/>
    <w:rsid w:val="001E55A9"/>
    <w:rsid w:val="001E68F2"/>
    <w:rsid w:val="001F0CA7"/>
    <w:rsid w:val="001F179E"/>
    <w:rsid w:val="001F2730"/>
    <w:rsid w:val="001F37BD"/>
    <w:rsid w:val="001F6576"/>
    <w:rsid w:val="00201905"/>
    <w:rsid w:val="0020221B"/>
    <w:rsid w:val="00206B8D"/>
    <w:rsid w:val="002074F6"/>
    <w:rsid w:val="00211E87"/>
    <w:rsid w:val="00216451"/>
    <w:rsid w:val="00221BC4"/>
    <w:rsid w:val="0022301F"/>
    <w:rsid w:val="00232B63"/>
    <w:rsid w:val="00234052"/>
    <w:rsid w:val="0023482B"/>
    <w:rsid w:val="00234E90"/>
    <w:rsid w:val="00237E00"/>
    <w:rsid w:val="00241721"/>
    <w:rsid w:val="002536FE"/>
    <w:rsid w:val="00253C71"/>
    <w:rsid w:val="002560B1"/>
    <w:rsid w:val="00261411"/>
    <w:rsid w:val="00262A8C"/>
    <w:rsid w:val="00262F73"/>
    <w:rsid w:val="00263AA6"/>
    <w:rsid w:val="00273D28"/>
    <w:rsid w:val="00277890"/>
    <w:rsid w:val="00282F86"/>
    <w:rsid w:val="0028539A"/>
    <w:rsid w:val="00285A62"/>
    <w:rsid w:val="002926E8"/>
    <w:rsid w:val="002967A1"/>
    <w:rsid w:val="002A0A9A"/>
    <w:rsid w:val="002A6D64"/>
    <w:rsid w:val="002A6DE3"/>
    <w:rsid w:val="002B0AE9"/>
    <w:rsid w:val="002B1971"/>
    <w:rsid w:val="002B47A3"/>
    <w:rsid w:val="002B620E"/>
    <w:rsid w:val="002B648D"/>
    <w:rsid w:val="002B7278"/>
    <w:rsid w:val="002C0D1D"/>
    <w:rsid w:val="002C251B"/>
    <w:rsid w:val="002C2E08"/>
    <w:rsid w:val="002C31C5"/>
    <w:rsid w:val="002C7CFE"/>
    <w:rsid w:val="002D1F86"/>
    <w:rsid w:val="002D2938"/>
    <w:rsid w:val="002D6F83"/>
    <w:rsid w:val="002E48EE"/>
    <w:rsid w:val="002E608A"/>
    <w:rsid w:val="002F0F90"/>
    <w:rsid w:val="002F2ED5"/>
    <w:rsid w:val="002F6268"/>
    <w:rsid w:val="00301A99"/>
    <w:rsid w:val="0030213F"/>
    <w:rsid w:val="00303AF8"/>
    <w:rsid w:val="00304544"/>
    <w:rsid w:val="003105D8"/>
    <w:rsid w:val="003110B8"/>
    <w:rsid w:val="00311EAE"/>
    <w:rsid w:val="00314218"/>
    <w:rsid w:val="00320C44"/>
    <w:rsid w:val="003213D1"/>
    <w:rsid w:val="003308BB"/>
    <w:rsid w:val="00332528"/>
    <w:rsid w:val="00334830"/>
    <w:rsid w:val="00343FC8"/>
    <w:rsid w:val="003512BB"/>
    <w:rsid w:val="003522A0"/>
    <w:rsid w:val="0035383A"/>
    <w:rsid w:val="00355BAD"/>
    <w:rsid w:val="0035647F"/>
    <w:rsid w:val="003617B4"/>
    <w:rsid w:val="00363E3C"/>
    <w:rsid w:val="0036499F"/>
    <w:rsid w:val="003707EC"/>
    <w:rsid w:val="003715A2"/>
    <w:rsid w:val="00380F98"/>
    <w:rsid w:val="00382612"/>
    <w:rsid w:val="00390933"/>
    <w:rsid w:val="00394A78"/>
    <w:rsid w:val="003A002C"/>
    <w:rsid w:val="003A110B"/>
    <w:rsid w:val="003A1BBB"/>
    <w:rsid w:val="003A2D6D"/>
    <w:rsid w:val="003A504E"/>
    <w:rsid w:val="003A7E2C"/>
    <w:rsid w:val="003B23BF"/>
    <w:rsid w:val="003B53ED"/>
    <w:rsid w:val="003B5873"/>
    <w:rsid w:val="003B5E84"/>
    <w:rsid w:val="003C4DD9"/>
    <w:rsid w:val="003D2880"/>
    <w:rsid w:val="003D5D7E"/>
    <w:rsid w:val="003E1173"/>
    <w:rsid w:val="003E23D8"/>
    <w:rsid w:val="003E4688"/>
    <w:rsid w:val="003F1AB2"/>
    <w:rsid w:val="003F457F"/>
    <w:rsid w:val="003F5304"/>
    <w:rsid w:val="004015EE"/>
    <w:rsid w:val="004045FC"/>
    <w:rsid w:val="00405FC4"/>
    <w:rsid w:val="004069D7"/>
    <w:rsid w:val="004213D1"/>
    <w:rsid w:val="00421B6F"/>
    <w:rsid w:val="00426721"/>
    <w:rsid w:val="004271E9"/>
    <w:rsid w:val="00445318"/>
    <w:rsid w:val="00445360"/>
    <w:rsid w:val="004508E0"/>
    <w:rsid w:val="00453138"/>
    <w:rsid w:val="004536F4"/>
    <w:rsid w:val="0045558D"/>
    <w:rsid w:val="004602B1"/>
    <w:rsid w:val="004633AF"/>
    <w:rsid w:val="00464378"/>
    <w:rsid w:val="00465ED5"/>
    <w:rsid w:val="00465FDF"/>
    <w:rsid w:val="00473F82"/>
    <w:rsid w:val="0047698B"/>
    <w:rsid w:val="004804E6"/>
    <w:rsid w:val="00485B19"/>
    <w:rsid w:val="004922A2"/>
    <w:rsid w:val="00493322"/>
    <w:rsid w:val="00495E4F"/>
    <w:rsid w:val="004A20F4"/>
    <w:rsid w:val="004B1322"/>
    <w:rsid w:val="004B6060"/>
    <w:rsid w:val="004C0F86"/>
    <w:rsid w:val="004C1682"/>
    <w:rsid w:val="004C4899"/>
    <w:rsid w:val="004C4C9D"/>
    <w:rsid w:val="004C5780"/>
    <w:rsid w:val="004D2BDF"/>
    <w:rsid w:val="004E6222"/>
    <w:rsid w:val="004E62F8"/>
    <w:rsid w:val="004F2DB6"/>
    <w:rsid w:val="004F33DD"/>
    <w:rsid w:val="004F4317"/>
    <w:rsid w:val="004F4FA2"/>
    <w:rsid w:val="005002CE"/>
    <w:rsid w:val="00502258"/>
    <w:rsid w:val="00502AE1"/>
    <w:rsid w:val="005046EE"/>
    <w:rsid w:val="00505E06"/>
    <w:rsid w:val="005068EA"/>
    <w:rsid w:val="00512178"/>
    <w:rsid w:val="00514F2F"/>
    <w:rsid w:val="0051685D"/>
    <w:rsid w:val="0051720F"/>
    <w:rsid w:val="00520ACB"/>
    <w:rsid w:val="005258A7"/>
    <w:rsid w:val="00532577"/>
    <w:rsid w:val="0054202C"/>
    <w:rsid w:val="00542B1F"/>
    <w:rsid w:val="0054502B"/>
    <w:rsid w:val="00554506"/>
    <w:rsid w:val="00555D60"/>
    <w:rsid w:val="00557D5F"/>
    <w:rsid w:val="00560D78"/>
    <w:rsid w:val="00563094"/>
    <w:rsid w:val="00563B0B"/>
    <w:rsid w:val="00572E68"/>
    <w:rsid w:val="005741A5"/>
    <w:rsid w:val="005806E9"/>
    <w:rsid w:val="00581B82"/>
    <w:rsid w:val="005848EC"/>
    <w:rsid w:val="00586FBA"/>
    <w:rsid w:val="0059367D"/>
    <w:rsid w:val="00593A7A"/>
    <w:rsid w:val="00593E7D"/>
    <w:rsid w:val="0059505E"/>
    <w:rsid w:val="00596F1F"/>
    <w:rsid w:val="005A16A4"/>
    <w:rsid w:val="005A4604"/>
    <w:rsid w:val="005A58EE"/>
    <w:rsid w:val="005A63DC"/>
    <w:rsid w:val="005B5A93"/>
    <w:rsid w:val="005B61D1"/>
    <w:rsid w:val="005B626E"/>
    <w:rsid w:val="005B7A75"/>
    <w:rsid w:val="005C22A4"/>
    <w:rsid w:val="005C46F4"/>
    <w:rsid w:val="005C63F5"/>
    <w:rsid w:val="005C7BDB"/>
    <w:rsid w:val="005D3346"/>
    <w:rsid w:val="005E0713"/>
    <w:rsid w:val="005E2A2F"/>
    <w:rsid w:val="005E3AA9"/>
    <w:rsid w:val="005E44C2"/>
    <w:rsid w:val="005E51F3"/>
    <w:rsid w:val="005E7D38"/>
    <w:rsid w:val="005F06DD"/>
    <w:rsid w:val="005F0D8D"/>
    <w:rsid w:val="005F4D5F"/>
    <w:rsid w:val="005F6315"/>
    <w:rsid w:val="005F7B31"/>
    <w:rsid w:val="00605CAB"/>
    <w:rsid w:val="00606CD1"/>
    <w:rsid w:val="0061096D"/>
    <w:rsid w:val="006173DC"/>
    <w:rsid w:val="006229E6"/>
    <w:rsid w:val="006240CE"/>
    <w:rsid w:val="00624E1F"/>
    <w:rsid w:val="0062522E"/>
    <w:rsid w:val="00625B5F"/>
    <w:rsid w:val="00627AB3"/>
    <w:rsid w:val="00631167"/>
    <w:rsid w:val="00633B13"/>
    <w:rsid w:val="00635593"/>
    <w:rsid w:val="006358A2"/>
    <w:rsid w:val="00640A96"/>
    <w:rsid w:val="00641843"/>
    <w:rsid w:val="00641950"/>
    <w:rsid w:val="006461F8"/>
    <w:rsid w:val="00647B26"/>
    <w:rsid w:val="00650F31"/>
    <w:rsid w:val="00656645"/>
    <w:rsid w:val="00656C42"/>
    <w:rsid w:val="00657374"/>
    <w:rsid w:val="006631F9"/>
    <w:rsid w:val="00664488"/>
    <w:rsid w:val="006653A3"/>
    <w:rsid w:val="006726EE"/>
    <w:rsid w:val="006750B4"/>
    <w:rsid w:val="006864DC"/>
    <w:rsid w:val="00686E5D"/>
    <w:rsid w:val="00692C06"/>
    <w:rsid w:val="00693FC2"/>
    <w:rsid w:val="006978C3"/>
    <w:rsid w:val="006A57D7"/>
    <w:rsid w:val="006A6FDD"/>
    <w:rsid w:val="006B40DE"/>
    <w:rsid w:val="006B46EE"/>
    <w:rsid w:val="006B6085"/>
    <w:rsid w:val="006C38DC"/>
    <w:rsid w:val="006C5824"/>
    <w:rsid w:val="006D0D9D"/>
    <w:rsid w:val="006D22A4"/>
    <w:rsid w:val="006D359E"/>
    <w:rsid w:val="006D4FBF"/>
    <w:rsid w:val="006D5EC6"/>
    <w:rsid w:val="006E165B"/>
    <w:rsid w:val="006E1823"/>
    <w:rsid w:val="006F210F"/>
    <w:rsid w:val="006F2D7D"/>
    <w:rsid w:val="006F4315"/>
    <w:rsid w:val="006F6C82"/>
    <w:rsid w:val="00704EF3"/>
    <w:rsid w:val="00711519"/>
    <w:rsid w:val="00711C5F"/>
    <w:rsid w:val="00715EBE"/>
    <w:rsid w:val="00724D05"/>
    <w:rsid w:val="0072677C"/>
    <w:rsid w:val="00726C70"/>
    <w:rsid w:val="007271B4"/>
    <w:rsid w:val="007303D2"/>
    <w:rsid w:val="00730F65"/>
    <w:rsid w:val="007323C3"/>
    <w:rsid w:val="007407BE"/>
    <w:rsid w:val="00742594"/>
    <w:rsid w:val="00742721"/>
    <w:rsid w:val="0074377E"/>
    <w:rsid w:val="007450DA"/>
    <w:rsid w:val="00750477"/>
    <w:rsid w:val="0075460F"/>
    <w:rsid w:val="007558F1"/>
    <w:rsid w:val="00755EB7"/>
    <w:rsid w:val="00757D53"/>
    <w:rsid w:val="00763159"/>
    <w:rsid w:val="007669AE"/>
    <w:rsid w:val="00771554"/>
    <w:rsid w:val="007728DC"/>
    <w:rsid w:val="00774C0A"/>
    <w:rsid w:val="0077632E"/>
    <w:rsid w:val="00776F8E"/>
    <w:rsid w:val="00777639"/>
    <w:rsid w:val="00783547"/>
    <w:rsid w:val="00783E71"/>
    <w:rsid w:val="00784E47"/>
    <w:rsid w:val="00785946"/>
    <w:rsid w:val="007870E1"/>
    <w:rsid w:val="007875DC"/>
    <w:rsid w:val="007955C2"/>
    <w:rsid w:val="00796133"/>
    <w:rsid w:val="00796A5F"/>
    <w:rsid w:val="00796B4A"/>
    <w:rsid w:val="00797993"/>
    <w:rsid w:val="007A45D1"/>
    <w:rsid w:val="007A4816"/>
    <w:rsid w:val="007A6CCE"/>
    <w:rsid w:val="007A6F9F"/>
    <w:rsid w:val="007B0554"/>
    <w:rsid w:val="007B175E"/>
    <w:rsid w:val="007B178A"/>
    <w:rsid w:val="007B2082"/>
    <w:rsid w:val="007B285D"/>
    <w:rsid w:val="007B4230"/>
    <w:rsid w:val="007B4C84"/>
    <w:rsid w:val="007B5374"/>
    <w:rsid w:val="007C3A5A"/>
    <w:rsid w:val="007C4A7A"/>
    <w:rsid w:val="007C5257"/>
    <w:rsid w:val="007C759D"/>
    <w:rsid w:val="007D171A"/>
    <w:rsid w:val="007D64B6"/>
    <w:rsid w:val="007E0078"/>
    <w:rsid w:val="007E6706"/>
    <w:rsid w:val="007F0B88"/>
    <w:rsid w:val="007F0BC0"/>
    <w:rsid w:val="007F188A"/>
    <w:rsid w:val="007F1C6D"/>
    <w:rsid w:val="007F3AD2"/>
    <w:rsid w:val="007F5F5C"/>
    <w:rsid w:val="008013FF"/>
    <w:rsid w:val="00805BCE"/>
    <w:rsid w:val="00806FA2"/>
    <w:rsid w:val="00812C56"/>
    <w:rsid w:val="00813FFC"/>
    <w:rsid w:val="008156BC"/>
    <w:rsid w:val="00822C10"/>
    <w:rsid w:val="00823D16"/>
    <w:rsid w:val="0082703A"/>
    <w:rsid w:val="0082772A"/>
    <w:rsid w:val="008303AD"/>
    <w:rsid w:val="00834EB6"/>
    <w:rsid w:val="00844F5C"/>
    <w:rsid w:val="0085022B"/>
    <w:rsid w:val="00851CD1"/>
    <w:rsid w:val="008523AD"/>
    <w:rsid w:val="0085250A"/>
    <w:rsid w:val="00854BB8"/>
    <w:rsid w:val="0086073A"/>
    <w:rsid w:val="00861693"/>
    <w:rsid w:val="0086656E"/>
    <w:rsid w:val="00874D75"/>
    <w:rsid w:val="0087552B"/>
    <w:rsid w:val="00875B86"/>
    <w:rsid w:val="008818DE"/>
    <w:rsid w:val="008820F1"/>
    <w:rsid w:val="008822C9"/>
    <w:rsid w:val="00883368"/>
    <w:rsid w:val="00883710"/>
    <w:rsid w:val="00892297"/>
    <w:rsid w:val="008929B0"/>
    <w:rsid w:val="008946B1"/>
    <w:rsid w:val="00894AE8"/>
    <w:rsid w:val="00895F27"/>
    <w:rsid w:val="008A0911"/>
    <w:rsid w:val="008A19C0"/>
    <w:rsid w:val="008A1F2D"/>
    <w:rsid w:val="008A1F81"/>
    <w:rsid w:val="008A2924"/>
    <w:rsid w:val="008A66B9"/>
    <w:rsid w:val="008B010E"/>
    <w:rsid w:val="008B03F9"/>
    <w:rsid w:val="008B0A2F"/>
    <w:rsid w:val="008B0AD9"/>
    <w:rsid w:val="008B3CF3"/>
    <w:rsid w:val="008C15DF"/>
    <w:rsid w:val="008C1EB2"/>
    <w:rsid w:val="008C5861"/>
    <w:rsid w:val="008C5B0E"/>
    <w:rsid w:val="008D029B"/>
    <w:rsid w:val="008D0ED2"/>
    <w:rsid w:val="008D16D9"/>
    <w:rsid w:val="008D1716"/>
    <w:rsid w:val="008D1F41"/>
    <w:rsid w:val="008D26EB"/>
    <w:rsid w:val="008D2B8F"/>
    <w:rsid w:val="008D4A9B"/>
    <w:rsid w:val="008D4B6A"/>
    <w:rsid w:val="008D56B0"/>
    <w:rsid w:val="008D7A76"/>
    <w:rsid w:val="008D7B8E"/>
    <w:rsid w:val="008E056C"/>
    <w:rsid w:val="008E130C"/>
    <w:rsid w:val="008E1433"/>
    <w:rsid w:val="008E42EE"/>
    <w:rsid w:val="008E480F"/>
    <w:rsid w:val="008E554A"/>
    <w:rsid w:val="008F17FB"/>
    <w:rsid w:val="008F24F3"/>
    <w:rsid w:val="008F3636"/>
    <w:rsid w:val="008F5854"/>
    <w:rsid w:val="008F7393"/>
    <w:rsid w:val="00901CE3"/>
    <w:rsid w:val="00904C40"/>
    <w:rsid w:val="00913345"/>
    <w:rsid w:val="00915466"/>
    <w:rsid w:val="0091566C"/>
    <w:rsid w:val="00920CA6"/>
    <w:rsid w:val="009214AC"/>
    <w:rsid w:val="00924398"/>
    <w:rsid w:val="00926127"/>
    <w:rsid w:val="00931614"/>
    <w:rsid w:val="00931C54"/>
    <w:rsid w:val="009325AA"/>
    <w:rsid w:val="009329FF"/>
    <w:rsid w:val="00932F88"/>
    <w:rsid w:val="00933436"/>
    <w:rsid w:val="0093460C"/>
    <w:rsid w:val="00935709"/>
    <w:rsid w:val="00935836"/>
    <w:rsid w:val="0094077E"/>
    <w:rsid w:val="00940869"/>
    <w:rsid w:val="00941E56"/>
    <w:rsid w:val="00942CFB"/>
    <w:rsid w:val="00943E2A"/>
    <w:rsid w:val="009455AB"/>
    <w:rsid w:val="00945976"/>
    <w:rsid w:val="00952236"/>
    <w:rsid w:val="00953614"/>
    <w:rsid w:val="0095707F"/>
    <w:rsid w:val="00960A3F"/>
    <w:rsid w:val="00961CA4"/>
    <w:rsid w:val="00961E39"/>
    <w:rsid w:val="009669BA"/>
    <w:rsid w:val="009721AD"/>
    <w:rsid w:val="009778D2"/>
    <w:rsid w:val="00981EB2"/>
    <w:rsid w:val="00987D53"/>
    <w:rsid w:val="00990D23"/>
    <w:rsid w:val="00993C39"/>
    <w:rsid w:val="009962E6"/>
    <w:rsid w:val="009A00F6"/>
    <w:rsid w:val="009A0C18"/>
    <w:rsid w:val="009A16C0"/>
    <w:rsid w:val="009A1E56"/>
    <w:rsid w:val="009A4A55"/>
    <w:rsid w:val="009A5BA9"/>
    <w:rsid w:val="009A7F50"/>
    <w:rsid w:val="009B0E31"/>
    <w:rsid w:val="009B6172"/>
    <w:rsid w:val="009B7205"/>
    <w:rsid w:val="009C0F57"/>
    <w:rsid w:val="009C32AD"/>
    <w:rsid w:val="009C575A"/>
    <w:rsid w:val="009D008A"/>
    <w:rsid w:val="009D2931"/>
    <w:rsid w:val="009D38C3"/>
    <w:rsid w:val="009E1ED8"/>
    <w:rsid w:val="009E4E76"/>
    <w:rsid w:val="009E654F"/>
    <w:rsid w:val="009E78F4"/>
    <w:rsid w:val="009F0174"/>
    <w:rsid w:val="009F2FFB"/>
    <w:rsid w:val="009F3BC3"/>
    <w:rsid w:val="00A03456"/>
    <w:rsid w:val="00A0799D"/>
    <w:rsid w:val="00A1107E"/>
    <w:rsid w:val="00A114FC"/>
    <w:rsid w:val="00A1444F"/>
    <w:rsid w:val="00A25F40"/>
    <w:rsid w:val="00A260D2"/>
    <w:rsid w:val="00A2725E"/>
    <w:rsid w:val="00A304AF"/>
    <w:rsid w:val="00A30A25"/>
    <w:rsid w:val="00A3187E"/>
    <w:rsid w:val="00A339F8"/>
    <w:rsid w:val="00A33D79"/>
    <w:rsid w:val="00A36777"/>
    <w:rsid w:val="00A37DF9"/>
    <w:rsid w:val="00A456B8"/>
    <w:rsid w:val="00A459AA"/>
    <w:rsid w:val="00A46726"/>
    <w:rsid w:val="00A46D80"/>
    <w:rsid w:val="00A47749"/>
    <w:rsid w:val="00A56652"/>
    <w:rsid w:val="00A56963"/>
    <w:rsid w:val="00A61A36"/>
    <w:rsid w:val="00A667AA"/>
    <w:rsid w:val="00A74E14"/>
    <w:rsid w:val="00A8155A"/>
    <w:rsid w:val="00A833E6"/>
    <w:rsid w:val="00A85A5F"/>
    <w:rsid w:val="00A85DB2"/>
    <w:rsid w:val="00A877F4"/>
    <w:rsid w:val="00A90832"/>
    <w:rsid w:val="00A91CB5"/>
    <w:rsid w:val="00A939BE"/>
    <w:rsid w:val="00A96ADB"/>
    <w:rsid w:val="00A97CE9"/>
    <w:rsid w:val="00AA0B5C"/>
    <w:rsid w:val="00AA0CD3"/>
    <w:rsid w:val="00AA141D"/>
    <w:rsid w:val="00AA169A"/>
    <w:rsid w:val="00AA1B68"/>
    <w:rsid w:val="00AA3826"/>
    <w:rsid w:val="00AA7CFF"/>
    <w:rsid w:val="00AB62D5"/>
    <w:rsid w:val="00AB7227"/>
    <w:rsid w:val="00AC05A2"/>
    <w:rsid w:val="00AC0882"/>
    <w:rsid w:val="00AC2BFC"/>
    <w:rsid w:val="00AC2FD2"/>
    <w:rsid w:val="00AD1FEA"/>
    <w:rsid w:val="00AE4FAB"/>
    <w:rsid w:val="00AF14C5"/>
    <w:rsid w:val="00AF3B20"/>
    <w:rsid w:val="00AF424E"/>
    <w:rsid w:val="00AF4E6B"/>
    <w:rsid w:val="00B04AB7"/>
    <w:rsid w:val="00B06285"/>
    <w:rsid w:val="00B0659A"/>
    <w:rsid w:val="00B07A5B"/>
    <w:rsid w:val="00B11FB6"/>
    <w:rsid w:val="00B13C20"/>
    <w:rsid w:val="00B13FB3"/>
    <w:rsid w:val="00B16684"/>
    <w:rsid w:val="00B17A93"/>
    <w:rsid w:val="00B22C70"/>
    <w:rsid w:val="00B23BDA"/>
    <w:rsid w:val="00B2611F"/>
    <w:rsid w:val="00B272F5"/>
    <w:rsid w:val="00B307F8"/>
    <w:rsid w:val="00B3161F"/>
    <w:rsid w:val="00B36F0E"/>
    <w:rsid w:val="00B375B1"/>
    <w:rsid w:val="00B43900"/>
    <w:rsid w:val="00B4566E"/>
    <w:rsid w:val="00B55AEF"/>
    <w:rsid w:val="00B55FD1"/>
    <w:rsid w:val="00B621BB"/>
    <w:rsid w:val="00B63935"/>
    <w:rsid w:val="00B64183"/>
    <w:rsid w:val="00B6548E"/>
    <w:rsid w:val="00B677DD"/>
    <w:rsid w:val="00B83B08"/>
    <w:rsid w:val="00B85570"/>
    <w:rsid w:val="00B8588C"/>
    <w:rsid w:val="00B913F6"/>
    <w:rsid w:val="00B93E0E"/>
    <w:rsid w:val="00B945C4"/>
    <w:rsid w:val="00B95FAA"/>
    <w:rsid w:val="00BA0A51"/>
    <w:rsid w:val="00BA200E"/>
    <w:rsid w:val="00BA21BB"/>
    <w:rsid w:val="00BA22E2"/>
    <w:rsid w:val="00BA30C5"/>
    <w:rsid w:val="00BA51AF"/>
    <w:rsid w:val="00BA6731"/>
    <w:rsid w:val="00BA7CDE"/>
    <w:rsid w:val="00BB0412"/>
    <w:rsid w:val="00BC2099"/>
    <w:rsid w:val="00BC3309"/>
    <w:rsid w:val="00BC3A44"/>
    <w:rsid w:val="00BC6720"/>
    <w:rsid w:val="00BC6E09"/>
    <w:rsid w:val="00BD7D3D"/>
    <w:rsid w:val="00BE0DD5"/>
    <w:rsid w:val="00BE4873"/>
    <w:rsid w:val="00BE4CE1"/>
    <w:rsid w:val="00BF03B5"/>
    <w:rsid w:val="00BF0A3B"/>
    <w:rsid w:val="00BF0B98"/>
    <w:rsid w:val="00BF14FB"/>
    <w:rsid w:val="00BF1A13"/>
    <w:rsid w:val="00BF2BCA"/>
    <w:rsid w:val="00BF5D1A"/>
    <w:rsid w:val="00BF64DC"/>
    <w:rsid w:val="00C00D64"/>
    <w:rsid w:val="00C068CE"/>
    <w:rsid w:val="00C0768F"/>
    <w:rsid w:val="00C111FF"/>
    <w:rsid w:val="00C11CBE"/>
    <w:rsid w:val="00C138F6"/>
    <w:rsid w:val="00C13C2B"/>
    <w:rsid w:val="00C15CDB"/>
    <w:rsid w:val="00C21D9B"/>
    <w:rsid w:val="00C24BEB"/>
    <w:rsid w:val="00C24E99"/>
    <w:rsid w:val="00C2596A"/>
    <w:rsid w:val="00C27037"/>
    <w:rsid w:val="00C343D2"/>
    <w:rsid w:val="00C34F6D"/>
    <w:rsid w:val="00C4152E"/>
    <w:rsid w:val="00C4309A"/>
    <w:rsid w:val="00C472E4"/>
    <w:rsid w:val="00C47311"/>
    <w:rsid w:val="00C4756D"/>
    <w:rsid w:val="00C47D7A"/>
    <w:rsid w:val="00C47DD0"/>
    <w:rsid w:val="00C47ECC"/>
    <w:rsid w:val="00C524FD"/>
    <w:rsid w:val="00C5273D"/>
    <w:rsid w:val="00C5348B"/>
    <w:rsid w:val="00C54A11"/>
    <w:rsid w:val="00C55B23"/>
    <w:rsid w:val="00C56E4E"/>
    <w:rsid w:val="00C63904"/>
    <w:rsid w:val="00C63D5C"/>
    <w:rsid w:val="00C640DF"/>
    <w:rsid w:val="00C64571"/>
    <w:rsid w:val="00C6651C"/>
    <w:rsid w:val="00C7450C"/>
    <w:rsid w:val="00C74E50"/>
    <w:rsid w:val="00C75386"/>
    <w:rsid w:val="00C77841"/>
    <w:rsid w:val="00C77C9C"/>
    <w:rsid w:val="00C83B8F"/>
    <w:rsid w:val="00C861D7"/>
    <w:rsid w:val="00C87AB4"/>
    <w:rsid w:val="00C90B5D"/>
    <w:rsid w:val="00C90F3F"/>
    <w:rsid w:val="00C90F44"/>
    <w:rsid w:val="00C917B1"/>
    <w:rsid w:val="00C952EF"/>
    <w:rsid w:val="00CA1A74"/>
    <w:rsid w:val="00CA392C"/>
    <w:rsid w:val="00CA3E36"/>
    <w:rsid w:val="00CA3E79"/>
    <w:rsid w:val="00CA441B"/>
    <w:rsid w:val="00CA55D1"/>
    <w:rsid w:val="00CA7FFA"/>
    <w:rsid w:val="00CC19F0"/>
    <w:rsid w:val="00CC1BF8"/>
    <w:rsid w:val="00CD2DB7"/>
    <w:rsid w:val="00CE2F86"/>
    <w:rsid w:val="00CE576E"/>
    <w:rsid w:val="00CE7B5C"/>
    <w:rsid w:val="00CF0F03"/>
    <w:rsid w:val="00CF3496"/>
    <w:rsid w:val="00CF3C51"/>
    <w:rsid w:val="00D037C9"/>
    <w:rsid w:val="00D03BC7"/>
    <w:rsid w:val="00D0708E"/>
    <w:rsid w:val="00D100DD"/>
    <w:rsid w:val="00D11549"/>
    <w:rsid w:val="00D11A52"/>
    <w:rsid w:val="00D1378E"/>
    <w:rsid w:val="00D137E0"/>
    <w:rsid w:val="00D15E77"/>
    <w:rsid w:val="00D17319"/>
    <w:rsid w:val="00D23B3F"/>
    <w:rsid w:val="00D266AB"/>
    <w:rsid w:val="00D31D78"/>
    <w:rsid w:val="00D323AD"/>
    <w:rsid w:val="00D33EF0"/>
    <w:rsid w:val="00D352B5"/>
    <w:rsid w:val="00D36B31"/>
    <w:rsid w:val="00D37BE3"/>
    <w:rsid w:val="00D429C7"/>
    <w:rsid w:val="00D469C1"/>
    <w:rsid w:val="00D46A1F"/>
    <w:rsid w:val="00D47466"/>
    <w:rsid w:val="00D74E6E"/>
    <w:rsid w:val="00D76BD8"/>
    <w:rsid w:val="00D81C8F"/>
    <w:rsid w:val="00D94037"/>
    <w:rsid w:val="00DA0FD2"/>
    <w:rsid w:val="00DA238A"/>
    <w:rsid w:val="00DA5BD5"/>
    <w:rsid w:val="00DA5BFD"/>
    <w:rsid w:val="00DA685D"/>
    <w:rsid w:val="00DB00FA"/>
    <w:rsid w:val="00DB0668"/>
    <w:rsid w:val="00DB5289"/>
    <w:rsid w:val="00DC112F"/>
    <w:rsid w:val="00DC2A0E"/>
    <w:rsid w:val="00DC6DDF"/>
    <w:rsid w:val="00DC6E9C"/>
    <w:rsid w:val="00DD47EB"/>
    <w:rsid w:val="00DE08D8"/>
    <w:rsid w:val="00DE2C4F"/>
    <w:rsid w:val="00DE6782"/>
    <w:rsid w:val="00DE7630"/>
    <w:rsid w:val="00DF64FB"/>
    <w:rsid w:val="00DF6B08"/>
    <w:rsid w:val="00DF78AE"/>
    <w:rsid w:val="00E030D6"/>
    <w:rsid w:val="00E05A30"/>
    <w:rsid w:val="00E12B72"/>
    <w:rsid w:val="00E14DC7"/>
    <w:rsid w:val="00E17E4C"/>
    <w:rsid w:val="00E25B36"/>
    <w:rsid w:val="00E324F0"/>
    <w:rsid w:val="00E337EF"/>
    <w:rsid w:val="00E34ED7"/>
    <w:rsid w:val="00E361A2"/>
    <w:rsid w:val="00E4024F"/>
    <w:rsid w:val="00E55BBD"/>
    <w:rsid w:val="00E57B0D"/>
    <w:rsid w:val="00E604A6"/>
    <w:rsid w:val="00E60BC4"/>
    <w:rsid w:val="00E61128"/>
    <w:rsid w:val="00E62CA5"/>
    <w:rsid w:val="00E6554B"/>
    <w:rsid w:val="00E67CCE"/>
    <w:rsid w:val="00E70E6C"/>
    <w:rsid w:val="00E717BC"/>
    <w:rsid w:val="00E73BC8"/>
    <w:rsid w:val="00E73D93"/>
    <w:rsid w:val="00E74661"/>
    <w:rsid w:val="00E91067"/>
    <w:rsid w:val="00E93F7C"/>
    <w:rsid w:val="00E974B0"/>
    <w:rsid w:val="00EA0D20"/>
    <w:rsid w:val="00EA2FC0"/>
    <w:rsid w:val="00EB334B"/>
    <w:rsid w:val="00EB402C"/>
    <w:rsid w:val="00EB4BD4"/>
    <w:rsid w:val="00EB505E"/>
    <w:rsid w:val="00EB6591"/>
    <w:rsid w:val="00EB74FF"/>
    <w:rsid w:val="00EB793D"/>
    <w:rsid w:val="00EC0322"/>
    <w:rsid w:val="00EC56B5"/>
    <w:rsid w:val="00EC78B6"/>
    <w:rsid w:val="00ED4540"/>
    <w:rsid w:val="00ED6A2B"/>
    <w:rsid w:val="00EE3575"/>
    <w:rsid w:val="00EF00C1"/>
    <w:rsid w:val="00EF6BEB"/>
    <w:rsid w:val="00F001F4"/>
    <w:rsid w:val="00F04985"/>
    <w:rsid w:val="00F05454"/>
    <w:rsid w:val="00F12CEE"/>
    <w:rsid w:val="00F135BF"/>
    <w:rsid w:val="00F13E8B"/>
    <w:rsid w:val="00F20BC6"/>
    <w:rsid w:val="00F27138"/>
    <w:rsid w:val="00F345FE"/>
    <w:rsid w:val="00F429E2"/>
    <w:rsid w:val="00F467F8"/>
    <w:rsid w:val="00F46C48"/>
    <w:rsid w:val="00F5325F"/>
    <w:rsid w:val="00F53819"/>
    <w:rsid w:val="00F54C90"/>
    <w:rsid w:val="00F6598D"/>
    <w:rsid w:val="00F72BC5"/>
    <w:rsid w:val="00F76290"/>
    <w:rsid w:val="00F8057B"/>
    <w:rsid w:val="00F808DE"/>
    <w:rsid w:val="00F8438D"/>
    <w:rsid w:val="00F863A7"/>
    <w:rsid w:val="00F874C7"/>
    <w:rsid w:val="00F87FB5"/>
    <w:rsid w:val="00F95ABB"/>
    <w:rsid w:val="00F96842"/>
    <w:rsid w:val="00F97E2D"/>
    <w:rsid w:val="00FA2796"/>
    <w:rsid w:val="00FA2C2F"/>
    <w:rsid w:val="00FA5E24"/>
    <w:rsid w:val="00FB014A"/>
    <w:rsid w:val="00FB14C4"/>
    <w:rsid w:val="00FB3EAA"/>
    <w:rsid w:val="00FC1600"/>
    <w:rsid w:val="00FC4032"/>
    <w:rsid w:val="00FC42F3"/>
    <w:rsid w:val="00FC55F3"/>
    <w:rsid w:val="00FC568C"/>
    <w:rsid w:val="00FC6B7E"/>
    <w:rsid w:val="00FD0AB2"/>
    <w:rsid w:val="00FD3938"/>
    <w:rsid w:val="00FD719C"/>
    <w:rsid w:val="00FE083A"/>
    <w:rsid w:val="00FE1251"/>
    <w:rsid w:val="00FE3E1F"/>
    <w:rsid w:val="00FE773C"/>
    <w:rsid w:val="00FF191E"/>
    <w:rsid w:val="00FF61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it-IT"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F06DD"/>
  </w:style>
  <w:style w:type="paragraph" w:styleId="Titolo1">
    <w:name w:val="heading 1"/>
    <w:basedOn w:val="Normale"/>
    <w:next w:val="Normale"/>
    <w:link w:val="Titolo1Carattere"/>
    <w:uiPriority w:val="9"/>
    <w:qFormat/>
    <w:rsid w:val="007961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961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9613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9613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9613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9613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13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13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13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13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9613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9613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9613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9613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9613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13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13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133"/>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1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9613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13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9613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13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96133"/>
    <w:rPr>
      <w:i/>
      <w:iCs/>
      <w:color w:val="404040" w:themeColor="text1" w:themeTint="BF"/>
    </w:rPr>
  </w:style>
  <w:style w:type="paragraph" w:styleId="Paragrafoelenco">
    <w:name w:val="List Paragraph"/>
    <w:basedOn w:val="Normale"/>
    <w:uiPriority w:val="34"/>
    <w:qFormat/>
    <w:rsid w:val="00796133"/>
    <w:pPr>
      <w:ind w:left="720"/>
      <w:contextualSpacing/>
    </w:pPr>
  </w:style>
  <w:style w:type="character" w:styleId="Enfasiintensa">
    <w:name w:val="Intense Emphasis"/>
    <w:basedOn w:val="Carpredefinitoparagrafo"/>
    <w:uiPriority w:val="21"/>
    <w:qFormat/>
    <w:rsid w:val="00796133"/>
    <w:rPr>
      <w:i/>
      <w:iCs/>
      <w:color w:val="2F5496" w:themeColor="accent1" w:themeShade="BF"/>
    </w:rPr>
  </w:style>
  <w:style w:type="paragraph" w:styleId="Citazioneintensa">
    <w:name w:val="Intense Quote"/>
    <w:basedOn w:val="Normale"/>
    <w:next w:val="Normale"/>
    <w:link w:val="CitazioneintensaCarattere"/>
    <w:uiPriority w:val="30"/>
    <w:qFormat/>
    <w:rsid w:val="007961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96133"/>
    <w:rPr>
      <w:i/>
      <w:iCs/>
      <w:color w:val="2F5496" w:themeColor="accent1" w:themeShade="BF"/>
    </w:rPr>
  </w:style>
  <w:style w:type="character" w:styleId="Riferimentointenso">
    <w:name w:val="Intense Reference"/>
    <w:basedOn w:val="Carpredefinitoparagrafo"/>
    <w:uiPriority w:val="32"/>
    <w:qFormat/>
    <w:rsid w:val="00796133"/>
    <w:rPr>
      <w:b/>
      <w:bCs/>
      <w:smallCaps/>
      <w:color w:val="2F5496" w:themeColor="accent1" w:themeShade="BF"/>
      <w:spacing w:val="5"/>
    </w:rPr>
  </w:style>
  <w:style w:type="character" w:styleId="Collegamentoipertestuale">
    <w:name w:val="Hyperlink"/>
    <w:basedOn w:val="Carpredefinitoparagrafo"/>
    <w:uiPriority w:val="99"/>
    <w:unhideWhenUsed/>
    <w:rsid w:val="009B0E31"/>
    <w:rPr>
      <w:color w:val="0563C1" w:themeColor="hyperlink"/>
      <w:u w:val="single"/>
    </w:rPr>
  </w:style>
  <w:style w:type="character" w:customStyle="1" w:styleId="Menzionenonrisolta1">
    <w:name w:val="Menzione non risolta1"/>
    <w:basedOn w:val="Carpredefinitoparagrafo"/>
    <w:uiPriority w:val="99"/>
    <w:semiHidden/>
    <w:unhideWhenUsed/>
    <w:rsid w:val="009B0E31"/>
    <w:rPr>
      <w:color w:val="605E5C"/>
      <w:shd w:val="clear" w:color="auto" w:fill="E1DFDD"/>
    </w:rPr>
  </w:style>
  <w:style w:type="paragraph" w:styleId="Intestazione">
    <w:name w:val="header"/>
    <w:basedOn w:val="Normale"/>
    <w:link w:val="IntestazioneCarattere"/>
    <w:uiPriority w:val="99"/>
    <w:unhideWhenUsed/>
    <w:rsid w:val="00485B1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85B19"/>
  </w:style>
  <w:style w:type="paragraph" w:styleId="Pidipagina">
    <w:name w:val="footer"/>
    <w:basedOn w:val="Normale"/>
    <w:link w:val="PidipaginaCarattere"/>
    <w:uiPriority w:val="99"/>
    <w:unhideWhenUsed/>
    <w:rsid w:val="00485B1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85B19"/>
  </w:style>
  <w:style w:type="paragraph" w:styleId="NormaleWeb">
    <w:name w:val="Normal (Web)"/>
    <w:basedOn w:val="Normale"/>
    <w:uiPriority w:val="99"/>
    <w:semiHidden/>
    <w:unhideWhenUsed/>
    <w:rsid w:val="00633B13"/>
    <w:pPr>
      <w:spacing w:before="100" w:beforeAutospacing="1" w:after="100" w:afterAutospacing="1" w:line="240" w:lineRule="auto"/>
    </w:pPr>
    <w:rPr>
      <w:rFonts w:ascii="Times New Roman" w:eastAsia="Times New Roman" w:hAnsi="Times New Roman" w:cs="Times New Roman"/>
      <w:kern w:val="0"/>
      <w:lang w:eastAsia="it-IT"/>
    </w:rPr>
  </w:style>
</w:styles>
</file>

<file path=word/webSettings.xml><?xml version="1.0" encoding="utf-8"?>
<w:webSettings xmlns:r="http://schemas.openxmlformats.org/officeDocument/2006/relationships" xmlns:w="http://schemas.openxmlformats.org/wordprocessingml/2006/main">
  <w:divs>
    <w:div w:id="28528607">
      <w:bodyDiv w:val="1"/>
      <w:marLeft w:val="0"/>
      <w:marRight w:val="0"/>
      <w:marTop w:val="0"/>
      <w:marBottom w:val="0"/>
      <w:divBdr>
        <w:top w:val="none" w:sz="0" w:space="0" w:color="auto"/>
        <w:left w:val="none" w:sz="0" w:space="0" w:color="auto"/>
        <w:bottom w:val="none" w:sz="0" w:space="0" w:color="auto"/>
        <w:right w:val="none" w:sz="0" w:space="0" w:color="auto"/>
      </w:divBdr>
      <w:divsChild>
        <w:div w:id="736708940">
          <w:marLeft w:val="0"/>
          <w:marRight w:val="0"/>
          <w:marTop w:val="0"/>
          <w:marBottom w:val="0"/>
          <w:divBdr>
            <w:top w:val="none" w:sz="0" w:space="0" w:color="auto"/>
            <w:left w:val="none" w:sz="0" w:space="0" w:color="auto"/>
            <w:bottom w:val="none" w:sz="0" w:space="0" w:color="auto"/>
            <w:right w:val="none" w:sz="0" w:space="0" w:color="auto"/>
          </w:divBdr>
          <w:divsChild>
            <w:div w:id="1578900183">
              <w:marLeft w:val="0"/>
              <w:marRight w:val="0"/>
              <w:marTop w:val="0"/>
              <w:marBottom w:val="0"/>
              <w:divBdr>
                <w:top w:val="none" w:sz="0" w:space="0" w:color="auto"/>
                <w:left w:val="none" w:sz="0" w:space="0" w:color="auto"/>
                <w:bottom w:val="none" w:sz="0" w:space="0" w:color="auto"/>
                <w:right w:val="none" w:sz="0" w:space="0" w:color="auto"/>
              </w:divBdr>
              <w:divsChild>
                <w:div w:id="849566298">
                  <w:marLeft w:val="0"/>
                  <w:marRight w:val="0"/>
                  <w:marTop w:val="0"/>
                  <w:marBottom w:val="0"/>
                  <w:divBdr>
                    <w:top w:val="none" w:sz="0" w:space="0" w:color="auto"/>
                    <w:left w:val="none" w:sz="0" w:space="0" w:color="auto"/>
                    <w:bottom w:val="none" w:sz="0" w:space="0" w:color="auto"/>
                    <w:right w:val="none" w:sz="0" w:space="0" w:color="auto"/>
                  </w:divBdr>
                  <w:divsChild>
                    <w:div w:id="581187609">
                      <w:marLeft w:val="0"/>
                      <w:marRight w:val="0"/>
                      <w:marTop w:val="0"/>
                      <w:marBottom w:val="0"/>
                      <w:divBdr>
                        <w:top w:val="none" w:sz="0" w:space="0" w:color="auto"/>
                        <w:left w:val="none" w:sz="0" w:space="0" w:color="auto"/>
                        <w:bottom w:val="none" w:sz="0" w:space="0" w:color="auto"/>
                        <w:right w:val="none" w:sz="0" w:space="0" w:color="auto"/>
                      </w:divBdr>
                      <w:divsChild>
                        <w:div w:id="1564830625">
                          <w:marLeft w:val="0"/>
                          <w:marRight w:val="0"/>
                          <w:marTop w:val="0"/>
                          <w:marBottom w:val="0"/>
                          <w:divBdr>
                            <w:top w:val="none" w:sz="0" w:space="0" w:color="auto"/>
                            <w:left w:val="none" w:sz="0" w:space="0" w:color="auto"/>
                            <w:bottom w:val="none" w:sz="0" w:space="0" w:color="auto"/>
                            <w:right w:val="none" w:sz="0" w:space="0" w:color="auto"/>
                          </w:divBdr>
                          <w:divsChild>
                            <w:div w:id="1848322850">
                              <w:marLeft w:val="0"/>
                              <w:marRight w:val="0"/>
                              <w:marTop w:val="0"/>
                              <w:marBottom w:val="0"/>
                              <w:divBdr>
                                <w:top w:val="none" w:sz="0" w:space="0" w:color="auto"/>
                                <w:left w:val="none" w:sz="0" w:space="0" w:color="auto"/>
                                <w:bottom w:val="none" w:sz="0" w:space="0" w:color="auto"/>
                                <w:right w:val="none" w:sz="0" w:space="0" w:color="auto"/>
                              </w:divBdr>
                              <w:divsChild>
                                <w:div w:id="160658543">
                                  <w:marLeft w:val="0"/>
                                  <w:marRight w:val="0"/>
                                  <w:marTop w:val="0"/>
                                  <w:marBottom w:val="0"/>
                                  <w:divBdr>
                                    <w:top w:val="none" w:sz="0" w:space="0" w:color="auto"/>
                                    <w:left w:val="none" w:sz="0" w:space="0" w:color="auto"/>
                                    <w:bottom w:val="none" w:sz="0" w:space="0" w:color="auto"/>
                                    <w:right w:val="none" w:sz="0" w:space="0" w:color="auto"/>
                                  </w:divBdr>
                                  <w:divsChild>
                                    <w:div w:id="384716902">
                                      <w:marLeft w:val="0"/>
                                      <w:marRight w:val="0"/>
                                      <w:marTop w:val="0"/>
                                      <w:marBottom w:val="0"/>
                                      <w:divBdr>
                                        <w:top w:val="none" w:sz="0" w:space="0" w:color="auto"/>
                                        <w:left w:val="none" w:sz="0" w:space="0" w:color="auto"/>
                                        <w:bottom w:val="none" w:sz="0" w:space="0" w:color="auto"/>
                                        <w:right w:val="none" w:sz="0" w:space="0" w:color="auto"/>
                                      </w:divBdr>
                                      <w:divsChild>
                                        <w:div w:id="1603955420">
                                          <w:marLeft w:val="0"/>
                                          <w:marRight w:val="0"/>
                                          <w:marTop w:val="0"/>
                                          <w:marBottom w:val="0"/>
                                          <w:divBdr>
                                            <w:top w:val="none" w:sz="0" w:space="0" w:color="auto"/>
                                            <w:left w:val="none" w:sz="0" w:space="0" w:color="auto"/>
                                            <w:bottom w:val="none" w:sz="0" w:space="0" w:color="auto"/>
                                            <w:right w:val="none" w:sz="0" w:space="0" w:color="auto"/>
                                          </w:divBdr>
                                          <w:divsChild>
                                            <w:div w:id="1884175832">
                                              <w:marLeft w:val="0"/>
                                              <w:marRight w:val="0"/>
                                              <w:marTop w:val="0"/>
                                              <w:marBottom w:val="0"/>
                                              <w:divBdr>
                                                <w:top w:val="none" w:sz="0" w:space="0" w:color="auto"/>
                                                <w:left w:val="none" w:sz="0" w:space="0" w:color="auto"/>
                                                <w:bottom w:val="none" w:sz="0" w:space="0" w:color="auto"/>
                                                <w:right w:val="none" w:sz="0" w:space="0" w:color="auto"/>
                                              </w:divBdr>
                                              <w:divsChild>
                                                <w:div w:id="367875865">
                                                  <w:marLeft w:val="0"/>
                                                  <w:marRight w:val="0"/>
                                                  <w:marTop w:val="0"/>
                                                  <w:marBottom w:val="0"/>
                                                  <w:divBdr>
                                                    <w:top w:val="none" w:sz="0" w:space="0" w:color="auto"/>
                                                    <w:left w:val="none" w:sz="0" w:space="0" w:color="auto"/>
                                                    <w:bottom w:val="none" w:sz="0" w:space="0" w:color="auto"/>
                                                    <w:right w:val="none" w:sz="0" w:space="0" w:color="auto"/>
                                                  </w:divBdr>
                                                  <w:divsChild>
                                                    <w:div w:id="1747453906">
                                                      <w:marLeft w:val="0"/>
                                                      <w:marRight w:val="0"/>
                                                      <w:marTop w:val="0"/>
                                                      <w:marBottom w:val="0"/>
                                                      <w:divBdr>
                                                        <w:top w:val="none" w:sz="0" w:space="0" w:color="auto"/>
                                                        <w:left w:val="none" w:sz="0" w:space="0" w:color="auto"/>
                                                        <w:bottom w:val="none" w:sz="0" w:space="0" w:color="auto"/>
                                                        <w:right w:val="none" w:sz="0" w:space="0" w:color="auto"/>
                                                      </w:divBdr>
                                                      <w:divsChild>
                                                        <w:div w:id="535125625">
                                                          <w:marLeft w:val="0"/>
                                                          <w:marRight w:val="0"/>
                                                          <w:marTop w:val="0"/>
                                                          <w:marBottom w:val="0"/>
                                                          <w:divBdr>
                                                            <w:top w:val="none" w:sz="0" w:space="0" w:color="auto"/>
                                                            <w:left w:val="none" w:sz="0" w:space="0" w:color="auto"/>
                                                            <w:bottom w:val="none" w:sz="0" w:space="0" w:color="auto"/>
                                                            <w:right w:val="none" w:sz="0" w:space="0" w:color="auto"/>
                                                          </w:divBdr>
                                                          <w:divsChild>
                                                            <w:div w:id="1895239932">
                                                              <w:marLeft w:val="0"/>
                                                              <w:marRight w:val="0"/>
                                                              <w:marTop w:val="0"/>
                                                              <w:marBottom w:val="0"/>
                                                              <w:divBdr>
                                                                <w:top w:val="none" w:sz="0" w:space="0" w:color="auto"/>
                                                                <w:left w:val="none" w:sz="0" w:space="0" w:color="auto"/>
                                                                <w:bottom w:val="none" w:sz="0" w:space="0" w:color="auto"/>
                                                                <w:right w:val="none" w:sz="0" w:space="0" w:color="auto"/>
                                                              </w:divBdr>
                                                              <w:divsChild>
                                                                <w:div w:id="493305830">
                                                                  <w:marLeft w:val="0"/>
                                                                  <w:marRight w:val="0"/>
                                                                  <w:marTop w:val="0"/>
                                                                  <w:marBottom w:val="0"/>
                                                                  <w:divBdr>
                                                                    <w:top w:val="none" w:sz="0" w:space="0" w:color="auto"/>
                                                                    <w:left w:val="none" w:sz="0" w:space="0" w:color="auto"/>
                                                                    <w:bottom w:val="none" w:sz="0" w:space="0" w:color="auto"/>
                                                                    <w:right w:val="none" w:sz="0" w:space="0" w:color="auto"/>
                                                                  </w:divBdr>
                                                                  <w:divsChild>
                                                                    <w:div w:id="86848123">
                                                                      <w:marLeft w:val="0"/>
                                                                      <w:marRight w:val="0"/>
                                                                      <w:marTop w:val="0"/>
                                                                      <w:marBottom w:val="0"/>
                                                                      <w:divBdr>
                                                                        <w:top w:val="none" w:sz="0" w:space="0" w:color="auto"/>
                                                                        <w:left w:val="none" w:sz="0" w:space="0" w:color="auto"/>
                                                                        <w:bottom w:val="none" w:sz="0" w:space="0" w:color="auto"/>
                                                                        <w:right w:val="none" w:sz="0" w:space="0" w:color="auto"/>
                                                                      </w:divBdr>
                                                                      <w:divsChild>
                                                                        <w:div w:id="567958047">
                                                                          <w:marLeft w:val="0"/>
                                                                          <w:marRight w:val="0"/>
                                                                          <w:marTop w:val="0"/>
                                                                          <w:marBottom w:val="0"/>
                                                                          <w:divBdr>
                                                                            <w:top w:val="none" w:sz="0" w:space="0" w:color="auto"/>
                                                                            <w:left w:val="none" w:sz="0" w:space="0" w:color="auto"/>
                                                                            <w:bottom w:val="none" w:sz="0" w:space="0" w:color="auto"/>
                                                                            <w:right w:val="none" w:sz="0" w:space="0" w:color="auto"/>
                                                                          </w:divBdr>
                                                                          <w:divsChild>
                                                                            <w:div w:id="181502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1537001">
                                              <w:marLeft w:val="0"/>
                                              <w:marRight w:val="0"/>
                                              <w:marTop w:val="0"/>
                                              <w:marBottom w:val="0"/>
                                              <w:divBdr>
                                                <w:top w:val="none" w:sz="0" w:space="0" w:color="auto"/>
                                                <w:left w:val="none" w:sz="0" w:space="0" w:color="auto"/>
                                                <w:bottom w:val="none" w:sz="0" w:space="0" w:color="auto"/>
                                                <w:right w:val="none" w:sz="0" w:space="0" w:color="auto"/>
                                              </w:divBdr>
                                              <w:divsChild>
                                                <w:div w:id="7098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7515709">
      <w:bodyDiv w:val="1"/>
      <w:marLeft w:val="0"/>
      <w:marRight w:val="0"/>
      <w:marTop w:val="0"/>
      <w:marBottom w:val="0"/>
      <w:divBdr>
        <w:top w:val="none" w:sz="0" w:space="0" w:color="auto"/>
        <w:left w:val="none" w:sz="0" w:space="0" w:color="auto"/>
        <w:bottom w:val="none" w:sz="0" w:space="0" w:color="auto"/>
        <w:right w:val="none" w:sz="0" w:space="0" w:color="auto"/>
      </w:divBdr>
    </w:div>
    <w:div w:id="811485529">
      <w:bodyDiv w:val="1"/>
      <w:marLeft w:val="0"/>
      <w:marRight w:val="0"/>
      <w:marTop w:val="0"/>
      <w:marBottom w:val="0"/>
      <w:divBdr>
        <w:top w:val="none" w:sz="0" w:space="0" w:color="auto"/>
        <w:left w:val="none" w:sz="0" w:space="0" w:color="auto"/>
        <w:bottom w:val="none" w:sz="0" w:space="0" w:color="auto"/>
        <w:right w:val="none" w:sz="0" w:space="0" w:color="auto"/>
      </w:divBdr>
      <w:divsChild>
        <w:div w:id="564997616">
          <w:marLeft w:val="0"/>
          <w:marRight w:val="0"/>
          <w:marTop w:val="0"/>
          <w:marBottom w:val="0"/>
          <w:divBdr>
            <w:top w:val="none" w:sz="0" w:space="0" w:color="auto"/>
            <w:left w:val="none" w:sz="0" w:space="0" w:color="auto"/>
            <w:bottom w:val="none" w:sz="0" w:space="0" w:color="auto"/>
            <w:right w:val="none" w:sz="0" w:space="0" w:color="auto"/>
          </w:divBdr>
          <w:divsChild>
            <w:div w:id="1274898270">
              <w:marLeft w:val="0"/>
              <w:marRight w:val="0"/>
              <w:marTop w:val="0"/>
              <w:marBottom w:val="0"/>
              <w:divBdr>
                <w:top w:val="none" w:sz="0" w:space="0" w:color="auto"/>
                <w:left w:val="none" w:sz="0" w:space="0" w:color="auto"/>
                <w:bottom w:val="none" w:sz="0" w:space="0" w:color="auto"/>
                <w:right w:val="none" w:sz="0" w:space="0" w:color="auto"/>
              </w:divBdr>
            </w:div>
          </w:divsChild>
        </w:div>
        <w:div w:id="398869059">
          <w:marLeft w:val="0"/>
          <w:marRight w:val="0"/>
          <w:marTop w:val="0"/>
          <w:marBottom w:val="0"/>
          <w:divBdr>
            <w:top w:val="none" w:sz="0" w:space="0" w:color="auto"/>
            <w:left w:val="none" w:sz="0" w:space="0" w:color="auto"/>
            <w:bottom w:val="none" w:sz="0" w:space="0" w:color="auto"/>
            <w:right w:val="none" w:sz="0" w:space="0" w:color="auto"/>
          </w:divBdr>
          <w:divsChild>
            <w:div w:id="1909152805">
              <w:marLeft w:val="0"/>
              <w:marRight w:val="0"/>
              <w:marTop w:val="0"/>
              <w:marBottom w:val="0"/>
              <w:divBdr>
                <w:top w:val="none" w:sz="0" w:space="0" w:color="auto"/>
                <w:left w:val="none" w:sz="0" w:space="0" w:color="auto"/>
                <w:bottom w:val="none" w:sz="0" w:space="0" w:color="auto"/>
                <w:right w:val="none" w:sz="0" w:space="0" w:color="auto"/>
              </w:divBdr>
            </w:div>
          </w:divsChild>
        </w:div>
        <w:div w:id="265044638">
          <w:marLeft w:val="0"/>
          <w:marRight w:val="0"/>
          <w:marTop w:val="0"/>
          <w:marBottom w:val="0"/>
          <w:divBdr>
            <w:top w:val="none" w:sz="0" w:space="0" w:color="auto"/>
            <w:left w:val="none" w:sz="0" w:space="0" w:color="auto"/>
            <w:bottom w:val="none" w:sz="0" w:space="0" w:color="auto"/>
            <w:right w:val="none" w:sz="0" w:space="0" w:color="auto"/>
          </w:divBdr>
          <w:divsChild>
            <w:div w:id="60053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5293">
      <w:bodyDiv w:val="1"/>
      <w:marLeft w:val="0"/>
      <w:marRight w:val="0"/>
      <w:marTop w:val="0"/>
      <w:marBottom w:val="0"/>
      <w:divBdr>
        <w:top w:val="none" w:sz="0" w:space="0" w:color="auto"/>
        <w:left w:val="none" w:sz="0" w:space="0" w:color="auto"/>
        <w:bottom w:val="none" w:sz="0" w:space="0" w:color="auto"/>
        <w:right w:val="none" w:sz="0" w:space="0" w:color="auto"/>
      </w:divBdr>
      <w:divsChild>
        <w:div w:id="1852336537">
          <w:marLeft w:val="0"/>
          <w:marRight w:val="0"/>
          <w:marTop w:val="0"/>
          <w:marBottom w:val="0"/>
          <w:divBdr>
            <w:top w:val="none" w:sz="0" w:space="0" w:color="auto"/>
            <w:left w:val="none" w:sz="0" w:space="0" w:color="auto"/>
            <w:bottom w:val="none" w:sz="0" w:space="0" w:color="auto"/>
            <w:right w:val="none" w:sz="0" w:space="0" w:color="auto"/>
          </w:divBdr>
          <w:divsChild>
            <w:div w:id="1806850194">
              <w:marLeft w:val="0"/>
              <w:marRight w:val="0"/>
              <w:marTop w:val="0"/>
              <w:marBottom w:val="0"/>
              <w:divBdr>
                <w:top w:val="none" w:sz="0" w:space="0" w:color="auto"/>
                <w:left w:val="none" w:sz="0" w:space="0" w:color="auto"/>
                <w:bottom w:val="none" w:sz="0" w:space="0" w:color="auto"/>
                <w:right w:val="none" w:sz="0" w:space="0" w:color="auto"/>
              </w:divBdr>
              <w:divsChild>
                <w:div w:id="621812871">
                  <w:marLeft w:val="0"/>
                  <w:marRight w:val="0"/>
                  <w:marTop w:val="0"/>
                  <w:marBottom w:val="0"/>
                  <w:divBdr>
                    <w:top w:val="none" w:sz="0" w:space="0" w:color="auto"/>
                    <w:left w:val="none" w:sz="0" w:space="0" w:color="auto"/>
                    <w:bottom w:val="none" w:sz="0" w:space="0" w:color="auto"/>
                    <w:right w:val="none" w:sz="0" w:space="0" w:color="auto"/>
                  </w:divBdr>
                  <w:divsChild>
                    <w:div w:id="1478066096">
                      <w:marLeft w:val="0"/>
                      <w:marRight w:val="0"/>
                      <w:marTop w:val="0"/>
                      <w:marBottom w:val="0"/>
                      <w:divBdr>
                        <w:top w:val="none" w:sz="0" w:space="0" w:color="auto"/>
                        <w:left w:val="none" w:sz="0" w:space="0" w:color="auto"/>
                        <w:bottom w:val="none" w:sz="0" w:space="0" w:color="auto"/>
                        <w:right w:val="none" w:sz="0" w:space="0" w:color="auto"/>
                      </w:divBdr>
                      <w:divsChild>
                        <w:div w:id="683944928">
                          <w:marLeft w:val="0"/>
                          <w:marRight w:val="0"/>
                          <w:marTop w:val="0"/>
                          <w:marBottom w:val="0"/>
                          <w:divBdr>
                            <w:top w:val="none" w:sz="0" w:space="0" w:color="auto"/>
                            <w:left w:val="none" w:sz="0" w:space="0" w:color="auto"/>
                            <w:bottom w:val="none" w:sz="0" w:space="0" w:color="auto"/>
                            <w:right w:val="none" w:sz="0" w:space="0" w:color="auto"/>
                          </w:divBdr>
                          <w:divsChild>
                            <w:div w:id="750388589">
                              <w:marLeft w:val="0"/>
                              <w:marRight w:val="0"/>
                              <w:marTop w:val="0"/>
                              <w:marBottom w:val="0"/>
                              <w:divBdr>
                                <w:top w:val="none" w:sz="0" w:space="0" w:color="auto"/>
                                <w:left w:val="none" w:sz="0" w:space="0" w:color="auto"/>
                                <w:bottom w:val="none" w:sz="0" w:space="0" w:color="auto"/>
                                <w:right w:val="none" w:sz="0" w:space="0" w:color="auto"/>
                              </w:divBdr>
                              <w:divsChild>
                                <w:div w:id="1100760193">
                                  <w:marLeft w:val="0"/>
                                  <w:marRight w:val="0"/>
                                  <w:marTop w:val="0"/>
                                  <w:marBottom w:val="0"/>
                                  <w:divBdr>
                                    <w:top w:val="none" w:sz="0" w:space="0" w:color="auto"/>
                                    <w:left w:val="none" w:sz="0" w:space="0" w:color="auto"/>
                                    <w:bottom w:val="none" w:sz="0" w:space="0" w:color="auto"/>
                                    <w:right w:val="none" w:sz="0" w:space="0" w:color="auto"/>
                                  </w:divBdr>
                                  <w:divsChild>
                                    <w:div w:id="906188244">
                                      <w:marLeft w:val="0"/>
                                      <w:marRight w:val="0"/>
                                      <w:marTop w:val="0"/>
                                      <w:marBottom w:val="0"/>
                                      <w:divBdr>
                                        <w:top w:val="none" w:sz="0" w:space="0" w:color="auto"/>
                                        <w:left w:val="none" w:sz="0" w:space="0" w:color="auto"/>
                                        <w:bottom w:val="none" w:sz="0" w:space="0" w:color="auto"/>
                                        <w:right w:val="none" w:sz="0" w:space="0" w:color="auto"/>
                                      </w:divBdr>
                                      <w:divsChild>
                                        <w:div w:id="1725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9701696">
          <w:marLeft w:val="0"/>
          <w:marRight w:val="0"/>
          <w:marTop w:val="0"/>
          <w:marBottom w:val="0"/>
          <w:divBdr>
            <w:top w:val="none" w:sz="0" w:space="0" w:color="auto"/>
            <w:left w:val="none" w:sz="0" w:space="0" w:color="auto"/>
            <w:bottom w:val="none" w:sz="0" w:space="0" w:color="auto"/>
            <w:right w:val="none" w:sz="0" w:space="0" w:color="auto"/>
          </w:divBdr>
          <w:divsChild>
            <w:div w:id="88286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11715">
      <w:bodyDiv w:val="1"/>
      <w:marLeft w:val="0"/>
      <w:marRight w:val="0"/>
      <w:marTop w:val="0"/>
      <w:marBottom w:val="0"/>
      <w:divBdr>
        <w:top w:val="none" w:sz="0" w:space="0" w:color="auto"/>
        <w:left w:val="none" w:sz="0" w:space="0" w:color="auto"/>
        <w:bottom w:val="none" w:sz="0" w:space="0" w:color="auto"/>
        <w:right w:val="none" w:sz="0" w:space="0" w:color="auto"/>
      </w:divBdr>
    </w:div>
    <w:div w:id="2027436747">
      <w:bodyDiv w:val="1"/>
      <w:marLeft w:val="0"/>
      <w:marRight w:val="0"/>
      <w:marTop w:val="0"/>
      <w:marBottom w:val="0"/>
      <w:divBdr>
        <w:top w:val="none" w:sz="0" w:space="0" w:color="auto"/>
        <w:left w:val="none" w:sz="0" w:space="0" w:color="auto"/>
        <w:bottom w:val="none" w:sz="0" w:space="0" w:color="auto"/>
        <w:right w:val="none" w:sz="0" w:space="0" w:color="auto"/>
      </w:divBdr>
      <w:divsChild>
        <w:div w:id="1239638273">
          <w:marLeft w:val="0"/>
          <w:marRight w:val="0"/>
          <w:marTop w:val="0"/>
          <w:marBottom w:val="0"/>
          <w:divBdr>
            <w:top w:val="none" w:sz="0" w:space="0" w:color="auto"/>
            <w:left w:val="none" w:sz="0" w:space="0" w:color="auto"/>
            <w:bottom w:val="none" w:sz="0" w:space="0" w:color="auto"/>
            <w:right w:val="none" w:sz="0" w:space="0" w:color="auto"/>
          </w:divBdr>
          <w:divsChild>
            <w:div w:id="594484475">
              <w:marLeft w:val="0"/>
              <w:marRight w:val="0"/>
              <w:marTop w:val="0"/>
              <w:marBottom w:val="0"/>
              <w:divBdr>
                <w:top w:val="none" w:sz="0" w:space="0" w:color="auto"/>
                <w:left w:val="none" w:sz="0" w:space="0" w:color="auto"/>
                <w:bottom w:val="none" w:sz="0" w:space="0" w:color="auto"/>
                <w:right w:val="none" w:sz="0" w:space="0" w:color="auto"/>
              </w:divBdr>
              <w:divsChild>
                <w:div w:id="92438094">
                  <w:marLeft w:val="0"/>
                  <w:marRight w:val="0"/>
                  <w:marTop w:val="0"/>
                  <w:marBottom w:val="0"/>
                  <w:divBdr>
                    <w:top w:val="none" w:sz="0" w:space="0" w:color="auto"/>
                    <w:left w:val="none" w:sz="0" w:space="0" w:color="auto"/>
                    <w:bottom w:val="none" w:sz="0" w:space="0" w:color="auto"/>
                    <w:right w:val="none" w:sz="0" w:space="0" w:color="auto"/>
                  </w:divBdr>
                  <w:divsChild>
                    <w:div w:id="1303803859">
                      <w:marLeft w:val="0"/>
                      <w:marRight w:val="0"/>
                      <w:marTop w:val="0"/>
                      <w:marBottom w:val="0"/>
                      <w:divBdr>
                        <w:top w:val="none" w:sz="0" w:space="0" w:color="auto"/>
                        <w:left w:val="none" w:sz="0" w:space="0" w:color="auto"/>
                        <w:bottom w:val="none" w:sz="0" w:space="0" w:color="auto"/>
                        <w:right w:val="none" w:sz="0" w:space="0" w:color="auto"/>
                      </w:divBdr>
                      <w:divsChild>
                        <w:div w:id="790781547">
                          <w:marLeft w:val="0"/>
                          <w:marRight w:val="0"/>
                          <w:marTop w:val="0"/>
                          <w:marBottom w:val="0"/>
                          <w:divBdr>
                            <w:top w:val="none" w:sz="0" w:space="0" w:color="auto"/>
                            <w:left w:val="none" w:sz="0" w:space="0" w:color="auto"/>
                            <w:bottom w:val="none" w:sz="0" w:space="0" w:color="auto"/>
                            <w:right w:val="none" w:sz="0" w:space="0" w:color="auto"/>
                          </w:divBdr>
                          <w:divsChild>
                            <w:div w:id="643923955">
                              <w:marLeft w:val="0"/>
                              <w:marRight w:val="0"/>
                              <w:marTop w:val="0"/>
                              <w:marBottom w:val="0"/>
                              <w:divBdr>
                                <w:top w:val="none" w:sz="0" w:space="0" w:color="auto"/>
                                <w:left w:val="none" w:sz="0" w:space="0" w:color="auto"/>
                                <w:bottom w:val="none" w:sz="0" w:space="0" w:color="auto"/>
                                <w:right w:val="none" w:sz="0" w:space="0" w:color="auto"/>
                              </w:divBdr>
                              <w:divsChild>
                                <w:div w:id="602348991">
                                  <w:marLeft w:val="0"/>
                                  <w:marRight w:val="0"/>
                                  <w:marTop w:val="0"/>
                                  <w:marBottom w:val="0"/>
                                  <w:divBdr>
                                    <w:top w:val="none" w:sz="0" w:space="0" w:color="auto"/>
                                    <w:left w:val="none" w:sz="0" w:space="0" w:color="auto"/>
                                    <w:bottom w:val="none" w:sz="0" w:space="0" w:color="auto"/>
                                    <w:right w:val="none" w:sz="0" w:space="0" w:color="auto"/>
                                  </w:divBdr>
                                  <w:divsChild>
                                    <w:div w:id="369498255">
                                      <w:marLeft w:val="0"/>
                                      <w:marRight w:val="0"/>
                                      <w:marTop w:val="0"/>
                                      <w:marBottom w:val="0"/>
                                      <w:divBdr>
                                        <w:top w:val="none" w:sz="0" w:space="0" w:color="auto"/>
                                        <w:left w:val="none" w:sz="0" w:space="0" w:color="auto"/>
                                        <w:bottom w:val="none" w:sz="0" w:space="0" w:color="auto"/>
                                        <w:right w:val="none" w:sz="0" w:space="0" w:color="auto"/>
                                      </w:divBdr>
                                      <w:divsChild>
                                        <w:div w:id="127640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736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ems.eu?utm_source=chatgpt.com" TargetMode="External"/><Relationship Id="rId13" Type="http://schemas.openxmlformats.org/officeDocument/2006/relationships/hyperlink" Target="https://doi.org/10.1016/j.envres.2018.01.037?utm_source=chatgpt.com" TargetMode="External"/><Relationship Id="rId3" Type="http://schemas.openxmlformats.org/officeDocument/2006/relationships/settings" Target="settings.xml"/><Relationship Id="rId7" Type="http://schemas.openxmlformats.org/officeDocument/2006/relationships/hyperlink" Target="https://icems.eu/papers.htm?utm_source=chatgpt.com" TargetMode="External"/><Relationship Id="rId12" Type="http://schemas.openxmlformats.org/officeDocument/2006/relationships/hyperlink" Target="https://doi.org/10.1111/bcpt.13215?utm_source=chatgpt.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bem.2250060102?utm_source=chatgpt.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thelancet.com/journals/lancet/article/PIIS0140673600032438/abstract?utm_source=chatgpt.com" TargetMode="External"/><Relationship Id="rId4" Type="http://schemas.openxmlformats.org/officeDocument/2006/relationships/webSettings" Target="webSettings.xml"/><Relationship Id="rId9" Type="http://schemas.openxmlformats.org/officeDocument/2006/relationships/hyperlink" Target="https://icems.eu/papers.htm?utm_source=chatgpt.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icems.eu"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3925</Words>
  <Characters>22373</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Livio GIULIANI</dc:creator>
  <cp:keywords/>
  <dc:description/>
  <cp:lastModifiedBy>User</cp:lastModifiedBy>
  <cp:revision>5</cp:revision>
  <dcterms:created xsi:type="dcterms:W3CDTF">2026-10-20T10:23:00Z</dcterms:created>
  <dcterms:modified xsi:type="dcterms:W3CDTF">2026-10-20T12:26:00Z</dcterms:modified>
</cp:coreProperties>
</file>