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543E3" w14:textId="5E952CB0" w:rsidR="00E53A24" w:rsidRPr="00E53A24" w:rsidRDefault="00E53A24" w:rsidP="00C47639">
      <w:pPr>
        <w:rPr>
          <w:rFonts w:eastAsia="Times New Roman" w:cs="Times New Roman"/>
          <w:b/>
          <w:sz w:val="28"/>
          <w:szCs w:val="28"/>
          <w:bdr w:val="none" w:sz="0" w:space="0" w:color="auto" w:frame="1"/>
        </w:rPr>
      </w:pPr>
      <w:r w:rsidRPr="00E53A24">
        <w:rPr>
          <w:rFonts w:eastAsia="Times New Roman" w:cs="Times New Roman"/>
          <w:b/>
          <w:sz w:val="28"/>
          <w:szCs w:val="28"/>
          <w:bdr w:val="none" w:sz="0" w:space="0" w:color="auto" w:frame="1"/>
        </w:rPr>
        <w:t>Children’s Vulnerability</w:t>
      </w:r>
    </w:p>
    <w:p w14:paraId="488A2352" w14:textId="77777777" w:rsidR="00E53A24" w:rsidRDefault="00E53A24" w:rsidP="00C47639">
      <w:pPr>
        <w:rPr>
          <w:rFonts w:eastAsia="Times New Roman" w:cs="Times New Roman"/>
          <w:sz w:val="22"/>
          <w:szCs w:val="22"/>
          <w:bdr w:val="none" w:sz="0" w:space="0" w:color="auto" w:frame="1"/>
        </w:rPr>
      </w:pPr>
    </w:p>
    <w:p w14:paraId="4FFDBC4E" w14:textId="77777777" w:rsidR="00C47639" w:rsidRPr="00616338" w:rsidRDefault="00C47639" w:rsidP="00C47639">
      <w:pPr>
        <w:rPr>
          <w:rStyle w:val="color13"/>
        </w:rPr>
      </w:pPr>
      <w:r w:rsidRPr="00616338">
        <w:rPr>
          <w:rFonts w:eastAsia="Times New Roman" w:cs="Times New Roman"/>
          <w:sz w:val="22"/>
          <w:szCs w:val="22"/>
          <w:bdr w:val="none" w:sz="0" w:space="0" w:color="auto" w:frame="1"/>
        </w:rPr>
        <w:fldChar w:fldCharType="begin"/>
      </w:r>
      <w:r w:rsidRPr="00616338">
        <w:rPr>
          <w:rFonts w:eastAsia="Times New Roman" w:cs="Times New Roman"/>
          <w:sz w:val="22"/>
          <w:szCs w:val="22"/>
          <w:bdr w:val="none" w:sz="0" w:space="0" w:color="auto" w:frame="1"/>
        </w:rPr>
        <w:instrText xml:space="preserve"> HYPERLINK "http://www.sciencedirect.com/science/article/pii/S2213879X14000583" \t "_blank" </w:instrText>
      </w:r>
      <w:r w:rsidRPr="00616338">
        <w:rPr>
          <w:rFonts w:eastAsia="Times New Roman" w:cs="Times New Roman"/>
          <w:sz w:val="22"/>
          <w:szCs w:val="22"/>
          <w:bdr w:val="none" w:sz="0" w:space="0" w:color="auto" w:frame="1"/>
        </w:rPr>
        <w:fldChar w:fldCharType="separate"/>
      </w:r>
      <w:r w:rsidRPr="00616338">
        <w:rPr>
          <w:rStyle w:val="Hyperlink"/>
          <w:rFonts w:eastAsia="Times New Roman" w:cs="Times New Roman"/>
          <w:color w:val="auto"/>
          <w:sz w:val="22"/>
          <w:szCs w:val="22"/>
          <w:u w:val="none"/>
          <w:bdr w:val="none" w:sz="0" w:space="0" w:color="auto" w:frame="1"/>
        </w:rPr>
        <w:t>Why Children Absorb More Microwave Radiation than Adults: The Consequences.</w:t>
      </w:r>
      <w:r w:rsidRPr="00616338">
        <w:rPr>
          <w:rFonts w:eastAsia="Times New Roman" w:cs="Times New Roman"/>
          <w:sz w:val="22"/>
          <w:szCs w:val="22"/>
          <w:bdr w:val="none" w:sz="0" w:space="0" w:color="auto" w:frame="1"/>
        </w:rPr>
        <w:fldChar w:fldCharType="end"/>
      </w:r>
      <w:r w:rsidRPr="00616338">
        <w:rPr>
          <w:rFonts w:eastAsia="Times New Roman" w:cs="Times New Roman"/>
          <w:sz w:val="22"/>
          <w:szCs w:val="22"/>
        </w:rPr>
        <w:t> </w:t>
      </w:r>
      <w:r w:rsidRPr="00616338">
        <w:rPr>
          <w:rStyle w:val="color13"/>
          <w:rFonts w:eastAsia="Times New Roman" w:cs="Times New Roman"/>
          <w:sz w:val="22"/>
          <w:szCs w:val="22"/>
          <w:bdr w:val="none" w:sz="0" w:space="0" w:color="auto" w:frame="1"/>
        </w:rPr>
        <w:t>Morgan, Kesari, et al. Journal of Microscopy and Ultrastructure 2(4):196-204 (2014).</w:t>
      </w:r>
    </w:p>
    <w:p w14:paraId="542DE948" w14:textId="77777777" w:rsidR="00C47639" w:rsidRDefault="00E53A24" w:rsidP="00C47639">
      <w:hyperlink r:id="rId5" w:history="1">
        <w:r w:rsidR="00C47639" w:rsidRPr="006E02B2">
          <w:rPr>
            <w:rStyle w:val="Hyperlink"/>
          </w:rPr>
          <w:t>https://www.sciencedirect.com/science/article/pii/S2213879X14000583</w:t>
        </w:r>
      </w:hyperlink>
    </w:p>
    <w:p w14:paraId="005B4D0C" w14:textId="77777777" w:rsidR="00AA5338" w:rsidRDefault="00AA5338" w:rsidP="00AA5338">
      <w:pPr>
        <w:pStyle w:val="wp-block-paragraph"/>
        <w:shd w:val="clear" w:color="auto" w:fill="FFFFFF"/>
        <w:rPr>
          <w:rFonts w:ascii="Inter" w:hAnsi="Inter" w:hint="eastAsia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International Commission on the Biological Effects of Electromagnetic Fields (ICBE-EMF). (2026). Safeguarding children’s health in the digital age: Addressing screen time, wireless radiation and extremely low-frequency non-ionizing electromagnetic field exposures. Position statement </w:t>
      </w:r>
      <w:hyperlink r:id="rId6" w:history="1">
        <w:r>
          <w:rPr>
            <w:rStyle w:val="Hyperlink"/>
            <w:rFonts w:ascii="Inter" w:hAnsi="Inter"/>
            <w:sz w:val="26"/>
            <w:szCs w:val="26"/>
          </w:rPr>
          <w:t>https://icbe-emf.org/wp-content/uploads/2026/09/ICBE-EMF-Child-Health-Cell-Phone-Cell-Tower-EMF-Position-Statement-PDF-982026-1.pdf</w:t>
        </w:r>
      </w:hyperlink>
    </w:p>
    <w:p w14:paraId="49A76953" w14:textId="77777777" w:rsidR="00AA5338" w:rsidRDefault="00AA5338" w:rsidP="00AA5338">
      <w:pPr>
        <w:pStyle w:val="wp-block-paragraph"/>
        <w:shd w:val="clear" w:color="auto" w:fill="FFFFFF"/>
        <w:rPr>
          <w:rFonts w:ascii="Inter" w:hAnsi="Inter" w:hint="eastAsia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Davis, D., Birnbaum, L., Ben-Ishai, P., Taylor, H., Sears, M., Butler, T., &amp; Scarato, T. (2023). Wireless technologies, non-ionizing electromagnetic fields and children: Identifying and reducing health risks. </w:t>
      </w:r>
      <w:r>
        <w:rPr>
          <w:rStyle w:val="Emphasis"/>
          <w:rFonts w:ascii="Inter" w:hAnsi="Inter"/>
          <w:color w:val="0C1827"/>
          <w:sz w:val="26"/>
          <w:szCs w:val="26"/>
        </w:rPr>
        <w:t>Current Problems in Pediatric and Adolescent Health Care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53</w:t>
      </w:r>
      <w:r>
        <w:rPr>
          <w:rFonts w:ascii="Inter" w:hAnsi="Inter"/>
          <w:color w:val="0C1827"/>
          <w:sz w:val="26"/>
          <w:szCs w:val="26"/>
        </w:rPr>
        <w:t>(2), 101374. </w:t>
      </w:r>
      <w:hyperlink r:id="rId7" w:history="1">
        <w:r>
          <w:rPr>
            <w:rStyle w:val="Hyperlink"/>
            <w:rFonts w:ascii="Inter" w:hAnsi="Inter"/>
            <w:sz w:val="26"/>
            <w:szCs w:val="26"/>
          </w:rPr>
          <w:t>https://doi.org/10.1016/j.cppeds.2023.101374</w:t>
        </w:r>
      </w:hyperlink>
    </w:p>
    <w:p w14:paraId="36807630" w14:textId="77777777" w:rsidR="00AA5338" w:rsidRDefault="00AA5338" w:rsidP="00AA5338">
      <w:pPr>
        <w:pStyle w:val="wp-block-paragraph"/>
        <w:shd w:val="clear" w:color="auto" w:fill="FFFFFF"/>
        <w:rPr>
          <w:rFonts w:ascii="Inter" w:hAnsi="Inter" w:hint="eastAsia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Fernández, C., de Salles, A. A., Sears, M. E., Morris, R. D., &amp; Davis, D. L. (2018). Absorption of wireless radiation in the child versus adult brain and eye from cell phone conversation or virtual reality.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Research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167</w:t>
      </w:r>
      <w:r>
        <w:rPr>
          <w:rFonts w:ascii="Inter" w:hAnsi="Inter"/>
          <w:color w:val="0C1827"/>
          <w:sz w:val="26"/>
          <w:szCs w:val="26"/>
        </w:rPr>
        <w:t>, 694–699. </w:t>
      </w:r>
      <w:hyperlink r:id="rId8" w:history="1">
        <w:r>
          <w:rPr>
            <w:rStyle w:val="Hyperlink"/>
            <w:rFonts w:ascii="Inter" w:hAnsi="Inter"/>
            <w:sz w:val="26"/>
            <w:szCs w:val="26"/>
          </w:rPr>
          <w:t>https://doi.org/10.1016/j.envres.2018.05.013</w:t>
        </w:r>
      </w:hyperlink>
    </w:p>
    <w:p w14:paraId="7942D9EA" w14:textId="77777777" w:rsidR="00AA5338" w:rsidRDefault="00AA5338" w:rsidP="00AA5338">
      <w:pPr>
        <w:pStyle w:val="wp-block-paragraph"/>
        <w:shd w:val="clear" w:color="auto" w:fill="FFFFFF"/>
        <w:rPr>
          <w:rFonts w:ascii="Inter" w:hAnsi="Inter" w:hint="eastAsia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Soares, N. E., Bulla, G., Fernández-Rodríguez, C. E., &amp; de Salles, A. A. A. (2025). SAR estimations in a classroom with wireless computers. </w:t>
      </w:r>
      <w:r>
        <w:rPr>
          <w:rStyle w:val="Emphasis"/>
          <w:rFonts w:ascii="Inter" w:hAnsi="Inter"/>
          <w:color w:val="0C1827"/>
          <w:sz w:val="26"/>
          <w:szCs w:val="26"/>
        </w:rPr>
        <w:t>Journal of Microwaves, Optoelectronics and Electromagnetic Applications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24</w:t>
      </w:r>
      <w:r>
        <w:rPr>
          <w:rFonts w:ascii="Inter" w:hAnsi="Inter"/>
          <w:color w:val="0C1827"/>
          <w:sz w:val="26"/>
          <w:szCs w:val="26"/>
        </w:rPr>
        <w:t>(2), e2025288526. </w:t>
      </w:r>
      <w:hyperlink r:id="rId9" w:history="1">
        <w:r>
          <w:rPr>
            <w:rStyle w:val="Hyperlink"/>
            <w:rFonts w:ascii="Inter" w:hAnsi="Inter"/>
            <w:sz w:val="26"/>
            <w:szCs w:val="26"/>
          </w:rPr>
          <w:t>https://doi.org/10.1590/2179-10742025v24i3288526</w:t>
        </w:r>
      </w:hyperlink>
    </w:p>
    <w:p w14:paraId="05FFC800" w14:textId="77777777" w:rsidR="00E53A24" w:rsidRDefault="00E53A24" w:rsidP="00C47639"/>
    <w:p w14:paraId="14AED4FB" w14:textId="1BE04690" w:rsidR="00AA5338" w:rsidRDefault="00E53A24" w:rsidP="00C47639">
      <w:pPr>
        <w:rPr>
          <w:b/>
          <w:sz w:val="28"/>
          <w:szCs w:val="28"/>
        </w:rPr>
      </w:pPr>
      <w:r w:rsidRPr="00E53A24">
        <w:rPr>
          <w:b/>
          <w:sz w:val="28"/>
          <w:szCs w:val="28"/>
        </w:rPr>
        <w:t>School Recommendations</w:t>
      </w:r>
    </w:p>
    <w:p w14:paraId="40A858A1" w14:textId="77777777" w:rsidR="00E53A24" w:rsidRDefault="00E53A24" w:rsidP="00C47639">
      <w:pPr>
        <w:rPr>
          <w:b/>
          <w:sz w:val="28"/>
          <w:szCs w:val="28"/>
        </w:rPr>
      </w:pPr>
    </w:p>
    <w:p w14:paraId="3ED2E7ED" w14:textId="77777777" w:rsidR="00E53A24" w:rsidRDefault="00E53A24" w:rsidP="00E53A2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Clegg, F. M., Sears, M., Friesen, M., Scarato, T., Metzinger, R., Russell, C., Stadtner, A., &amp; Miller, A. B. (2020). Building science and radiofrequency radiation: What makes smart and healthy buildings. </w:t>
      </w:r>
      <w:r>
        <w:rPr>
          <w:rStyle w:val="Emphasis"/>
          <w:rFonts w:ascii="Inter" w:hAnsi="Inter"/>
          <w:color w:val="0C1827"/>
          <w:sz w:val="26"/>
          <w:szCs w:val="26"/>
        </w:rPr>
        <w:t>Building and Environment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176</w:t>
      </w:r>
      <w:r>
        <w:rPr>
          <w:rFonts w:ascii="Inter" w:hAnsi="Inter"/>
          <w:color w:val="0C1827"/>
          <w:sz w:val="26"/>
          <w:szCs w:val="26"/>
        </w:rPr>
        <w:t>, 106324. </w:t>
      </w:r>
      <w:hyperlink r:id="rId10" w:history="1">
        <w:r>
          <w:rPr>
            <w:rStyle w:val="Hyperlink"/>
            <w:rFonts w:ascii="Inter" w:hAnsi="Inter"/>
            <w:sz w:val="26"/>
            <w:szCs w:val="26"/>
          </w:rPr>
          <w:t>https://doi.org/10.1016/j.buildenv.2019.106324</w:t>
        </w:r>
      </w:hyperlink>
    </w:p>
    <w:p w14:paraId="3C1857C6" w14:textId="77777777" w:rsidR="00E53A24" w:rsidRDefault="00E53A24" w:rsidP="00E53A2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Collaborative for High Performance Schools. (n.d.). Low EMF best practices summary. </w:t>
      </w:r>
      <w:hyperlink r:id="rId11" w:history="1">
        <w:r>
          <w:rPr>
            <w:rStyle w:val="Hyperlink"/>
            <w:rFonts w:ascii="Inter" w:hAnsi="Inter"/>
            <w:sz w:val="26"/>
            <w:szCs w:val="26"/>
          </w:rPr>
          <w:t>https://healthytechhome.org/wp-content/uploads/sites/201/CEHPAC-EMF-in-HomeWi-Fi-in-School-Report.pdf</w:t>
        </w:r>
      </w:hyperlink>
    </w:p>
    <w:p w14:paraId="0CEC1742" w14:textId="77777777" w:rsidR="00E53A24" w:rsidRDefault="00E53A24" w:rsidP="00E53A2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Maryland State Children’s Environmental Health and Protection Advisory Council. (n.d.). Guidelines to reduce electromagnetic field radiation. </w:t>
      </w:r>
      <w:hyperlink r:id="rId12" w:history="1">
        <w:r>
          <w:rPr>
            <w:rStyle w:val="Hyperlink"/>
            <w:rFonts w:ascii="Inter" w:hAnsi="Inter"/>
            <w:sz w:val="26"/>
            <w:szCs w:val="26"/>
          </w:rPr>
          <w:t>https://health.maryland.gov/phpa/OEHFP/EH/Shared%20Documents/CEHPAC/MD_CEHPAC_SchoolWiFi_022017_final.pdf</w:t>
        </w:r>
      </w:hyperlink>
    </w:p>
    <w:p w14:paraId="5844E7A9" w14:textId="77777777" w:rsidR="00E53A24" w:rsidRDefault="00E53A24" w:rsidP="00E53A2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lastRenderedPageBreak/>
        <w:t>Maryland Children’s Environmental Health and Protection Advisory Council. (2017). Wi-Fi in school report. </w:t>
      </w:r>
      <w:hyperlink r:id="rId13" w:history="1">
        <w:r>
          <w:rPr>
            <w:rStyle w:val="Hyperlink"/>
            <w:rFonts w:ascii="Inter" w:hAnsi="Inter"/>
            <w:sz w:val="26"/>
            <w:szCs w:val="26"/>
          </w:rPr>
          <w:t>https://health.maryland.gov/phpa/OEHFP/EH/Shared%20Documents/CEHPAC/MD_CEHPAC_SchoolWiFi_022017_final.pdf</w:t>
        </w:r>
      </w:hyperlink>
    </w:p>
    <w:p w14:paraId="6678306F" w14:textId="77777777" w:rsidR="00E53A24" w:rsidRDefault="00E53A24" w:rsidP="00E53A2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Santa Clara County Medical Association. (2023). Best practices for safe technology in schools. </w:t>
      </w:r>
      <w:hyperlink r:id="rId14" w:history="1">
        <w:r>
          <w:rPr>
            <w:rStyle w:val="Hyperlink"/>
            <w:rFonts w:ascii="Inter" w:hAnsi="Inter"/>
            <w:sz w:val="26"/>
            <w:szCs w:val="26"/>
          </w:rPr>
          <w:t>https://www.sccma.org/Portals/19/LiveBlog/3697/SCCMA%20Best%20Practices%20for%20Safe%20Technology%20in%20Schools%20Recommendations%20%2021423.pdf</w:t>
        </w:r>
      </w:hyperlink>
    </w:p>
    <w:p w14:paraId="155CEDE9" w14:textId="77777777" w:rsidR="00E53A24" w:rsidRPr="00E53A24" w:rsidRDefault="00E53A24" w:rsidP="00C47639">
      <w:pPr>
        <w:rPr>
          <w:b/>
          <w:sz w:val="28"/>
          <w:szCs w:val="28"/>
        </w:rPr>
      </w:pPr>
      <w:bookmarkStart w:id="0" w:name="_GoBack"/>
      <w:bookmarkEnd w:id="0"/>
    </w:p>
    <w:sectPr w:rsidR="00E53A24" w:rsidRPr="00E53A24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39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A5338"/>
    <w:rsid w:val="00AB7C2C"/>
    <w:rsid w:val="00AD7AA7"/>
    <w:rsid w:val="00AF5316"/>
    <w:rsid w:val="00AF5A12"/>
    <w:rsid w:val="00B14DF5"/>
    <w:rsid w:val="00B6261E"/>
    <w:rsid w:val="00BB42EC"/>
    <w:rsid w:val="00C1187A"/>
    <w:rsid w:val="00C47639"/>
    <w:rsid w:val="00C536D7"/>
    <w:rsid w:val="00C757F4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3A24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26E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47639"/>
    <w:rPr>
      <w:color w:val="0000FF"/>
      <w:u w:val="single"/>
    </w:rPr>
  </w:style>
  <w:style w:type="character" w:customStyle="1" w:styleId="color13">
    <w:name w:val="color_13"/>
    <w:basedOn w:val="DefaultParagraphFont"/>
    <w:rsid w:val="00C47639"/>
  </w:style>
  <w:style w:type="paragraph" w:customStyle="1" w:styleId="wp-block-paragraph">
    <w:name w:val="wp-block-paragraph"/>
    <w:basedOn w:val="Normal"/>
    <w:rsid w:val="00AA533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A5338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47639"/>
    <w:rPr>
      <w:color w:val="0000FF"/>
      <w:u w:val="single"/>
    </w:rPr>
  </w:style>
  <w:style w:type="character" w:customStyle="1" w:styleId="color13">
    <w:name w:val="color_13"/>
    <w:basedOn w:val="DefaultParagraphFont"/>
    <w:rsid w:val="00C47639"/>
  </w:style>
  <w:style w:type="paragraph" w:customStyle="1" w:styleId="wp-block-paragraph">
    <w:name w:val="wp-block-paragraph"/>
    <w:basedOn w:val="Normal"/>
    <w:rsid w:val="00AA5338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A53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healthytechhome.org/wp-content/uploads/sites/201/CEHPAC-EMF-in-HomeWi-Fi-in-School-Report.pdf" TargetMode="External"/><Relationship Id="rId12" Type="http://schemas.openxmlformats.org/officeDocument/2006/relationships/hyperlink" Target="https://health.maryland.gov/phpa/OEHFP/EH/Shared%20Documents/CEHPAC/MD_CEHPAC_SchoolWiFi_022017_final.pdf" TargetMode="External"/><Relationship Id="rId13" Type="http://schemas.openxmlformats.org/officeDocument/2006/relationships/hyperlink" Target="https://health.maryland.gov/phpa/OEHFP/EH/Shared%20Documents/CEHPAC/MD_CEHPAC_SchoolWiFi_022017_final.pdf" TargetMode="External"/><Relationship Id="rId14" Type="http://schemas.openxmlformats.org/officeDocument/2006/relationships/hyperlink" Target="https://www.sccma.org/Portals/19/LiveBlog/3697/SCCMA%20Best%20Practices%20for%20Safe%20Technology%20in%20Schools%20Recommendations%20%2021423.pdf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sciencedirect.com/science/article/pii/S2213879X14000583" TargetMode="External"/><Relationship Id="rId6" Type="http://schemas.openxmlformats.org/officeDocument/2006/relationships/hyperlink" Target="https://icbe-emf.org/wp-content/uploads/2026/09/ICBE-EMF-Child-Health-Cell-Phone-Cell-Tower-EMF-Position-Statement-PDF-982026-1.pdf" TargetMode="External"/><Relationship Id="rId7" Type="http://schemas.openxmlformats.org/officeDocument/2006/relationships/hyperlink" Target="https://doi.org/10.1016/j.cppeds.2023.101374" TargetMode="External"/><Relationship Id="rId8" Type="http://schemas.openxmlformats.org/officeDocument/2006/relationships/hyperlink" Target="https://doi.org/10.1016/j.envres.2018.05.013" TargetMode="External"/><Relationship Id="rId9" Type="http://schemas.openxmlformats.org/officeDocument/2006/relationships/hyperlink" Target="https://doi.org/10.1590/2179-10742025v24i3288526" TargetMode="External"/><Relationship Id="rId10" Type="http://schemas.openxmlformats.org/officeDocument/2006/relationships/hyperlink" Target="https://doi.org/10.1016/j.buildenv.2019.106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578</Words>
  <Characters>3301</Characters>
  <Application>Microsoft Macintosh Word</Application>
  <DocSecurity>0</DocSecurity>
  <Lines>27</Lines>
  <Paragraphs>7</Paragraphs>
  <ScaleCrop>false</ScaleCrop>
  <Company>Mary Immaculate College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3</cp:revision>
  <dcterms:created xsi:type="dcterms:W3CDTF">2026-10-18T16:12:00Z</dcterms:created>
  <dcterms:modified xsi:type="dcterms:W3CDTF">2026-10-19T15:13:00Z</dcterms:modified>
</cp:coreProperties>
</file>