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901" w:rsidRPr="0097400B" w:rsidRDefault="000A2901" w:rsidP="000A2901">
      <w:pPr>
        <w:rPr>
          <w:b/>
          <w:sz w:val="28"/>
          <w:szCs w:val="28"/>
        </w:rPr>
      </w:pPr>
      <w:r w:rsidRPr="0097400B">
        <w:rPr>
          <w:b/>
          <w:sz w:val="28"/>
          <w:szCs w:val="28"/>
        </w:rPr>
        <w:t>Key Policy Recommendations</w:t>
      </w:r>
    </w:p>
    <w:p w:rsidR="000A2901" w:rsidRDefault="000A2901" w:rsidP="000A2901">
      <w:pPr>
        <w:rPr>
          <w:sz w:val="20"/>
          <w:szCs w:val="20"/>
        </w:rPr>
      </w:pPr>
    </w:p>
    <w:p w:rsidR="000A2901" w:rsidRDefault="000A2901" w:rsidP="000A2901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Scarato, T. (2025). U.S. policy on wireless technologies and public health protection: Regulatory gaps and proposed reforms. </w:t>
      </w:r>
      <w:r>
        <w:rPr>
          <w:rStyle w:val="Emphasis"/>
          <w:rFonts w:ascii="Inter" w:hAnsi="Inter"/>
          <w:color w:val="0C1827"/>
          <w:sz w:val="26"/>
          <w:szCs w:val="26"/>
        </w:rPr>
        <w:t>Frontiers in Public Health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13</w:t>
      </w:r>
      <w:r>
        <w:rPr>
          <w:rFonts w:ascii="Inter" w:hAnsi="Inter"/>
          <w:color w:val="0C1827"/>
          <w:sz w:val="26"/>
          <w:szCs w:val="26"/>
        </w:rPr>
        <w:t>, 1677583. </w:t>
      </w:r>
      <w:hyperlink r:id="rId5" w:history="1">
        <w:r>
          <w:rPr>
            <w:rStyle w:val="Hyperlink"/>
            <w:rFonts w:ascii="Inter" w:hAnsi="Inter"/>
            <w:sz w:val="26"/>
            <w:szCs w:val="26"/>
          </w:rPr>
          <w:t>https://doi.org/10.3389/fpubh.2025.1677583</w:t>
        </w:r>
      </w:hyperlink>
    </w:p>
    <w:p w:rsidR="000A2901" w:rsidRDefault="000A2901" w:rsidP="000A2901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Levitt, B. B., Lai, H. C., Manville, A. M., II, &amp; Scarato, T. (2025). Flora and fauna—How nonhuman species interact with natural and man-made EMF at ecosystem levels and public policy recommendations. </w:t>
      </w:r>
      <w:r>
        <w:rPr>
          <w:rStyle w:val="Emphasis"/>
          <w:rFonts w:ascii="Inter" w:hAnsi="Inter"/>
          <w:color w:val="0C1827"/>
          <w:sz w:val="26"/>
          <w:szCs w:val="26"/>
        </w:rPr>
        <w:t>Frontiers in Public Health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13</w:t>
      </w:r>
      <w:r>
        <w:rPr>
          <w:rFonts w:ascii="Inter" w:hAnsi="Inter"/>
          <w:color w:val="0C1827"/>
          <w:sz w:val="26"/>
          <w:szCs w:val="26"/>
        </w:rPr>
        <w:t>, 1693873. </w:t>
      </w:r>
      <w:hyperlink r:id="rId6" w:history="1">
        <w:r>
          <w:rPr>
            <w:rStyle w:val="Hyperlink"/>
            <w:rFonts w:ascii="Inter" w:hAnsi="Inter"/>
            <w:sz w:val="26"/>
            <w:szCs w:val="26"/>
          </w:rPr>
          <w:t>https://doi.org/10.3389/fpubh.2025.1693873</w:t>
        </w:r>
      </w:hyperlink>
    </w:p>
    <w:p w:rsidR="000A2901" w:rsidRDefault="000A2901" w:rsidP="000A2901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Melnick, R. L., Moskowitz, J. M., &amp; International Commission on the Biological Effects of Electromagnetic Fields (ICBE-EMF). (2026). Exposure limits to radiofrequency EMF do not account for cancer risk or reproductive toxicity assessed from data in experimental animals. </w:t>
      </w:r>
      <w:r>
        <w:rPr>
          <w:rStyle w:val="Emphasis"/>
          <w:rFonts w:ascii="Inter" w:hAnsi="Inter"/>
          <w:color w:val="0C1827"/>
          <w:sz w:val="26"/>
          <w:szCs w:val="26"/>
        </w:rPr>
        <w:t>Environmental Health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25</w:t>
      </w:r>
      <w:r>
        <w:rPr>
          <w:rFonts w:ascii="Inter" w:hAnsi="Inter"/>
          <w:color w:val="0C1827"/>
          <w:sz w:val="26"/>
          <w:szCs w:val="26"/>
        </w:rPr>
        <w:t>(1), 42. </w:t>
      </w:r>
      <w:hyperlink r:id="rId7" w:history="1">
        <w:r>
          <w:rPr>
            <w:rStyle w:val="Hyperlink"/>
            <w:rFonts w:ascii="Inter" w:hAnsi="Inter"/>
            <w:sz w:val="26"/>
            <w:szCs w:val="26"/>
          </w:rPr>
          <w:t>https://doi.org/10.1186/s12940-026-01288-6</w:t>
        </w:r>
      </w:hyperlink>
    </w:p>
    <w:p w:rsidR="000A2901" w:rsidRDefault="000A2901" w:rsidP="000A2901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International Commission on the Biological Effects of Electromagnetic Fields (ICBE-EMF). (2026). Safeguarding children’s health in the digital age: Addressing screen time, wireless radiation and extremely low-frequency non-ionizing electromagnetic field exposures. Position statement </w:t>
      </w:r>
      <w:hyperlink r:id="rId8" w:history="1">
        <w:r>
          <w:rPr>
            <w:rStyle w:val="Hyperlink"/>
            <w:rFonts w:ascii="Inter" w:hAnsi="Inter"/>
            <w:sz w:val="26"/>
            <w:szCs w:val="26"/>
          </w:rPr>
          <w:t>https://icbe-emf.org/wp-content/uploads/2026/09/ICBE-EMF-Child-Health-Cell-Phone-Cell-Tower-EMF-Position-Statement-PDF-982026-1.pdf</w:t>
        </w:r>
      </w:hyperlink>
    </w:p>
    <w:p w:rsidR="000A2901" w:rsidRPr="0097400B" w:rsidRDefault="000A2901" w:rsidP="000A2901">
      <w:pPr>
        <w:rPr>
          <w:b/>
          <w:sz w:val="28"/>
          <w:szCs w:val="28"/>
        </w:rPr>
      </w:pPr>
      <w:r w:rsidRPr="0097400B">
        <w:rPr>
          <w:b/>
          <w:sz w:val="28"/>
          <w:szCs w:val="28"/>
        </w:rPr>
        <w:t>Scientific Documentation that Limits are inadequate</w:t>
      </w:r>
    </w:p>
    <w:p w:rsidR="000A2901" w:rsidRDefault="000A2901" w:rsidP="000A2901">
      <w:pPr>
        <w:rPr>
          <w:sz w:val="20"/>
          <w:szCs w:val="20"/>
        </w:rPr>
      </w:pPr>
    </w:p>
    <w:p w:rsidR="000A2901" w:rsidRDefault="000A2901" w:rsidP="000A2901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Melnick, R. L., Moskowitz, J. M., &amp; International Commission on the Biological Effects of Electromagnetic Fields (ICBE-EMF). (2026). Exposure limits to radiofrequency EMF do not account for cancer risk or reproductive toxicity assessed from data in experimental animals. </w:t>
      </w:r>
      <w:r>
        <w:rPr>
          <w:rStyle w:val="Emphasis"/>
          <w:rFonts w:ascii="Inter" w:hAnsi="Inter"/>
          <w:color w:val="0C1827"/>
          <w:sz w:val="26"/>
          <w:szCs w:val="26"/>
        </w:rPr>
        <w:t>Environmental Health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25</w:t>
      </w:r>
      <w:r>
        <w:rPr>
          <w:rFonts w:ascii="Inter" w:hAnsi="Inter"/>
          <w:color w:val="0C1827"/>
          <w:sz w:val="26"/>
          <w:szCs w:val="26"/>
        </w:rPr>
        <w:t>(1), 42. </w:t>
      </w:r>
      <w:hyperlink r:id="rId9" w:history="1">
        <w:r>
          <w:rPr>
            <w:rStyle w:val="Hyperlink"/>
            <w:rFonts w:ascii="Inter" w:hAnsi="Inter"/>
            <w:sz w:val="26"/>
            <w:szCs w:val="26"/>
          </w:rPr>
          <w:t>https://doi.org/10.1186/s12940-026-01288-6</w:t>
        </w:r>
      </w:hyperlink>
    </w:p>
    <w:p w:rsidR="000A2901" w:rsidRDefault="000A2901" w:rsidP="000A2901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International Commission on the Biological Effects of Electromagnetic Fields (ICBE-EMF). (2022). Scientific evidence invalidates health assumptions underlying the FCC and ICNIRP exposure limit determinations for radiofrequency radiation: Implications for 5G. </w:t>
      </w:r>
      <w:r>
        <w:rPr>
          <w:rStyle w:val="Emphasis"/>
          <w:rFonts w:ascii="Inter" w:hAnsi="Inter"/>
          <w:color w:val="0C1827"/>
          <w:sz w:val="26"/>
          <w:szCs w:val="26"/>
        </w:rPr>
        <w:t>Environmental Health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21</w:t>
      </w:r>
      <w:r>
        <w:rPr>
          <w:rFonts w:ascii="Inter" w:hAnsi="Inter"/>
          <w:color w:val="0C1827"/>
          <w:sz w:val="26"/>
          <w:szCs w:val="26"/>
        </w:rPr>
        <w:t>(1), 92. </w:t>
      </w:r>
      <w:hyperlink r:id="rId10" w:history="1">
        <w:r>
          <w:rPr>
            <w:rStyle w:val="Hyperlink"/>
            <w:rFonts w:ascii="Inter" w:hAnsi="Inter"/>
            <w:sz w:val="26"/>
            <w:szCs w:val="26"/>
          </w:rPr>
          <w:t>https://doi.org/10.1186/s12940-022-00900-9</w:t>
        </w:r>
      </w:hyperlink>
    </w:p>
    <w:p w:rsidR="000A2901" w:rsidRDefault="000A2901" w:rsidP="000A2901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Lai, H., &amp; Levitt, B. B. (2024). Cellular and molecular effects of non-ionizing electromagnetic fields. </w:t>
      </w:r>
      <w:r>
        <w:rPr>
          <w:rStyle w:val="Emphasis"/>
          <w:rFonts w:ascii="Inter" w:hAnsi="Inter"/>
          <w:color w:val="0C1827"/>
          <w:sz w:val="26"/>
          <w:szCs w:val="26"/>
        </w:rPr>
        <w:t>Reviews on Environmental Health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39</w:t>
      </w:r>
      <w:r>
        <w:rPr>
          <w:rFonts w:ascii="Inter" w:hAnsi="Inter"/>
          <w:color w:val="0C1827"/>
          <w:sz w:val="26"/>
          <w:szCs w:val="26"/>
        </w:rPr>
        <w:t>(3), 519–529. </w:t>
      </w:r>
      <w:hyperlink r:id="rId11" w:history="1">
        <w:r>
          <w:rPr>
            <w:rStyle w:val="Hyperlink"/>
            <w:rFonts w:ascii="Inter" w:hAnsi="Inter"/>
            <w:sz w:val="26"/>
            <w:szCs w:val="26"/>
          </w:rPr>
          <w:t>https://doi.org/10.1515/reveh-2023-0023</w:t>
        </w:r>
      </w:hyperlink>
    </w:p>
    <w:p w:rsidR="000A2901" w:rsidRDefault="000A2901" w:rsidP="000A2901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 xml:space="preserve">Lai, H., &amp; Levitt, B. B. (2022). The roles of intensity, exposure duration, and modulation on the biological effects of radiofrequency radiation and exposure </w:t>
      </w:r>
      <w:r>
        <w:rPr>
          <w:rFonts w:ascii="Inter" w:hAnsi="Inter"/>
          <w:color w:val="0C1827"/>
          <w:sz w:val="26"/>
          <w:szCs w:val="26"/>
        </w:rPr>
        <w:lastRenderedPageBreak/>
        <w:t>guidelines. </w:t>
      </w:r>
      <w:r>
        <w:rPr>
          <w:rStyle w:val="Emphasis"/>
          <w:rFonts w:ascii="Inter" w:hAnsi="Inter"/>
          <w:color w:val="0C1827"/>
          <w:sz w:val="26"/>
          <w:szCs w:val="26"/>
        </w:rPr>
        <w:t>Electromagnetic Biology and Medicine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41</w:t>
      </w:r>
      <w:r>
        <w:rPr>
          <w:rFonts w:ascii="Inter" w:hAnsi="Inter"/>
          <w:color w:val="0C1827"/>
          <w:sz w:val="26"/>
          <w:szCs w:val="26"/>
        </w:rPr>
        <w:t>(2), 230–255. </w:t>
      </w:r>
      <w:hyperlink r:id="rId12" w:history="1">
        <w:r>
          <w:rPr>
            <w:rStyle w:val="Hyperlink"/>
            <w:rFonts w:ascii="Inter" w:hAnsi="Inter"/>
            <w:sz w:val="26"/>
            <w:szCs w:val="26"/>
          </w:rPr>
          <w:t>https://doi.org/10.1080/15368378.2022.2065683</w:t>
        </w:r>
      </w:hyperlink>
    </w:p>
    <w:p w:rsidR="000A2901" w:rsidRDefault="000A2901" w:rsidP="000A2901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Lai, H. (2021). Genetic effects of non-ionizing electromagnetic fields. </w:t>
      </w:r>
      <w:r>
        <w:rPr>
          <w:rStyle w:val="Emphasis"/>
          <w:rFonts w:ascii="Inter" w:hAnsi="Inter"/>
          <w:color w:val="0C1827"/>
          <w:sz w:val="26"/>
          <w:szCs w:val="26"/>
        </w:rPr>
        <w:t>Electromagnetic Biology and Medicine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40</w:t>
      </w:r>
      <w:r>
        <w:rPr>
          <w:rFonts w:ascii="Inter" w:hAnsi="Inter"/>
          <w:color w:val="0C1827"/>
          <w:sz w:val="26"/>
          <w:szCs w:val="26"/>
        </w:rPr>
        <w:t>(2), 264–273. </w:t>
      </w:r>
      <w:hyperlink r:id="rId13" w:history="1">
        <w:r>
          <w:rPr>
            <w:rStyle w:val="Hyperlink"/>
            <w:rFonts w:ascii="Inter" w:hAnsi="Inter"/>
            <w:sz w:val="26"/>
            <w:szCs w:val="26"/>
          </w:rPr>
          <w:t>https://doi.org/10.1080/15368378.2021.1881866</w:t>
        </w:r>
      </w:hyperlink>
    </w:p>
    <w:p w:rsidR="000A2901" w:rsidRDefault="000A2901" w:rsidP="000A2901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Lai, H., &amp; Levitt, B. B. (2025). Radiofrequency radiation-induced gene expression. </w:t>
      </w:r>
      <w:r>
        <w:rPr>
          <w:rStyle w:val="Emphasis"/>
          <w:rFonts w:ascii="Inter" w:hAnsi="Inter"/>
          <w:color w:val="0C1827"/>
          <w:sz w:val="26"/>
          <w:szCs w:val="26"/>
        </w:rPr>
        <w:t>Reviews on Environmental Health</w:t>
      </w:r>
      <w:r>
        <w:rPr>
          <w:rFonts w:ascii="Inter" w:hAnsi="Inter"/>
          <w:color w:val="0C1827"/>
          <w:sz w:val="26"/>
          <w:szCs w:val="26"/>
        </w:rPr>
        <w:t>. Advance online publication. </w:t>
      </w:r>
      <w:hyperlink r:id="rId14" w:history="1">
        <w:r>
          <w:rPr>
            <w:rStyle w:val="Hyperlink"/>
            <w:rFonts w:ascii="Inter" w:hAnsi="Inter"/>
            <w:sz w:val="26"/>
            <w:szCs w:val="26"/>
          </w:rPr>
          <w:t>https://doi.org/10.1515/reveh-2025-0104</w:t>
        </w:r>
      </w:hyperlink>
    </w:p>
    <w:p w:rsidR="000A2901" w:rsidRDefault="000A2901" w:rsidP="000A2901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Lin, J. C. (2025). Health and safety practices and policies concerning human exposure to RF/microwave radiation. </w:t>
      </w:r>
      <w:r>
        <w:rPr>
          <w:rStyle w:val="Emphasis"/>
          <w:rFonts w:ascii="Inter" w:hAnsi="Inter"/>
          <w:color w:val="0C1827"/>
          <w:sz w:val="26"/>
          <w:szCs w:val="26"/>
        </w:rPr>
        <w:t>Frontiers in Public Health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13</w:t>
      </w:r>
      <w:r>
        <w:rPr>
          <w:rFonts w:ascii="Inter" w:hAnsi="Inter"/>
          <w:color w:val="0C1827"/>
          <w:sz w:val="26"/>
          <w:szCs w:val="26"/>
        </w:rPr>
        <w:t>, 1619781. </w:t>
      </w:r>
      <w:hyperlink r:id="rId15" w:history="1">
        <w:r>
          <w:rPr>
            <w:rStyle w:val="Hyperlink"/>
            <w:rFonts w:ascii="Inter" w:hAnsi="Inter"/>
            <w:sz w:val="26"/>
            <w:szCs w:val="26"/>
          </w:rPr>
          <w:t>https://doi.org/10.3389/fpubh.2025.1619781</w:t>
        </w:r>
      </w:hyperlink>
    </w:p>
    <w:p w:rsidR="000A2901" w:rsidRDefault="000A2901" w:rsidP="000A2901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Golomb BA. Diplomats’ Mystery Illness and Pulsed Radiofrequency/Microwave Radiation. Neural Comput. 2018 Nov;30(11):2882-2985. </w:t>
      </w:r>
      <w:hyperlink r:id="rId16" w:history="1">
        <w:r>
          <w:rPr>
            <w:rStyle w:val="Hyperlink"/>
            <w:rFonts w:ascii="Inter" w:hAnsi="Inter"/>
            <w:sz w:val="26"/>
            <w:szCs w:val="26"/>
          </w:rPr>
          <w:t>doi: 10.1162/neco_a_01133</w:t>
        </w:r>
      </w:hyperlink>
      <w:r>
        <w:rPr>
          <w:rFonts w:ascii="Inter" w:hAnsi="Inter"/>
          <w:color w:val="0C1827"/>
          <w:sz w:val="26"/>
          <w:szCs w:val="26"/>
        </w:rPr>
        <w:t>.</w:t>
      </w:r>
    </w:p>
    <w:p w:rsidR="000A2901" w:rsidRDefault="000A2901" w:rsidP="000A2901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Uche, U. I., &amp; Naidenko, O. V. (2021). Development of health-based exposure limits for radiofrequency radiation from wireless devices using a benchmark dose approach. </w:t>
      </w:r>
      <w:r>
        <w:rPr>
          <w:rStyle w:val="Emphasis"/>
          <w:rFonts w:ascii="Inter" w:hAnsi="Inter"/>
          <w:color w:val="0C1827"/>
          <w:sz w:val="26"/>
          <w:szCs w:val="26"/>
        </w:rPr>
        <w:t>Environmental Health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20</w:t>
      </w:r>
      <w:r>
        <w:rPr>
          <w:rFonts w:ascii="Inter" w:hAnsi="Inter"/>
          <w:color w:val="0C1827"/>
          <w:sz w:val="26"/>
          <w:szCs w:val="26"/>
        </w:rPr>
        <w:t>(1), 84. </w:t>
      </w:r>
      <w:hyperlink r:id="rId17" w:history="1">
        <w:r>
          <w:rPr>
            <w:rStyle w:val="Hyperlink"/>
            <w:rFonts w:ascii="Inter" w:hAnsi="Inter"/>
            <w:sz w:val="26"/>
            <w:szCs w:val="26"/>
          </w:rPr>
          <w:t>https://doi.org/10.1186/s12940-021-00768-1</w:t>
        </w:r>
      </w:hyperlink>
    </w:p>
    <w:p w:rsidR="000A2901" w:rsidRDefault="000A2901" w:rsidP="000A2901">
      <w:pPr>
        <w:rPr>
          <w:sz w:val="20"/>
          <w:szCs w:val="20"/>
        </w:rPr>
      </w:pPr>
    </w:p>
    <w:p w:rsidR="00F87980" w:rsidRPr="000A2901" w:rsidRDefault="00F87980" w:rsidP="000A2901">
      <w:bookmarkStart w:id="0" w:name="_GoBack"/>
      <w:bookmarkEnd w:id="0"/>
    </w:p>
    <w:sectPr w:rsidR="00F87980" w:rsidRPr="000A2901" w:rsidSect="00F87980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901"/>
    <w:rsid w:val="00000496"/>
    <w:rsid w:val="000061F9"/>
    <w:rsid w:val="00012259"/>
    <w:rsid w:val="000222AD"/>
    <w:rsid w:val="000467AE"/>
    <w:rsid w:val="000A2901"/>
    <w:rsid w:val="000B0CB8"/>
    <w:rsid w:val="00101A3D"/>
    <w:rsid w:val="00103AD7"/>
    <w:rsid w:val="00173A25"/>
    <w:rsid w:val="001F5E70"/>
    <w:rsid w:val="00200E86"/>
    <w:rsid w:val="002547B0"/>
    <w:rsid w:val="002B611F"/>
    <w:rsid w:val="002F7F49"/>
    <w:rsid w:val="00301D91"/>
    <w:rsid w:val="00306FA3"/>
    <w:rsid w:val="00323839"/>
    <w:rsid w:val="00340113"/>
    <w:rsid w:val="00371158"/>
    <w:rsid w:val="004029AD"/>
    <w:rsid w:val="00441F50"/>
    <w:rsid w:val="004446DA"/>
    <w:rsid w:val="0044680A"/>
    <w:rsid w:val="00487C80"/>
    <w:rsid w:val="004A509C"/>
    <w:rsid w:val="004D5FCF"/>
    <w:rsid w:val="00506B0E"/>
    <w:rsid w:val="0055065F"/>
    <w:rsid w:val="005821F6"/>
    <w:rsid w:val="005A3A3B"/>
    <w:rsid w:val="006A22A1"/>
    <w:rsid w:val="006D78C8"/>
    <w:rsid w:val="006E2359"/>
    <w:rsid w:val="007009CF"/>
    <w:rsid w:val="00702319"/>
    <w:rsid w:val="0070545E"/>
    <w:rsid w:val="00705E66"/>
    <w:rsid w:val="00710849"/>
    <w:rsid w:val="00714800"/>
    <w:rsid w:val="00740ACF"/>
    <w:rsid w:val="00753114"/>
    <w:rsid w:val="00754EAB"/>
    <w:rsid w:val="007954DE"/>
    <w:rsid w:val="00797031"/>
    <w:rsid w:val="007C420D"/>
    <w:rsid w:val="007D0B74"/>
    <w:rsid w:val="007E19A9"/>
    <w:rsid w:val="007F0BC2"/>
    <w:rsid w:val="00835FE1"/>
    <w:rsid w:val="008A2CA9"/>
    <w:rsid w:val="008D0398"/>
    <w:rsid w:val="0092372E"/>
    <w:rsid w:val="009458B5"/>
    <w:rsid w:val="00A32EB1"/>
    <w:rsid w:val="00A65FEC"/>
    <w:rsid w:val="00AB7C2C"/>
    <w:rsid w:val="00AD7AA7"/>
    <w:rsid w:val="00AF5316"/>
    <w:rsid w:val="00AF5A12"/>
    <w:rsid w:val="00B14DF5"/>
    <w:rsid w:val="00B6261E"/>
    <w:rsid w:val="00BB42EC"/>
    <w:rsid w:val="00C1187A"/>
    <w:rsid w:val="00C536D7"/>
    <w:rsid w:val="00C757F4"/>
    <w:rsid w:val="00CE6CE5"/>
    <w:rsid w:val="00D305EF"/>
    <w:rsid w:val="00D51A32"/>
    <w:rsid w:val="00D749A7"/>
    <w:rsid w:val="00D97C42"/>
    <w:rsid w:val="00DA0E83"/>
    <w:rsid w:val="00DB01B6"/>
    <w:rsid w:val="00DB3E85"/>
    <w:rsid w:val="00DF3479"/>
    <w:rsid w:val="00E54AD9"/>
    <w:rsid w:val="00E7108E"/>
    <w:rsid w:val="00E86B14"/>
    <w:rsid w:val="00E901EA"/>
    <w:rsid w:val="00E95213"/>
    <w:rsid w:val="00EB16A8"/>
    <w:rsid w:val="00EC501E"/>
    <w:rsid w:val="00ED0E2F"/>
    <w:rsid w:val="00F0128B"/>
    <w:rsid w:val="00F40373"/>
    <w:rsid w:val="00F525F1"/>
    <w:rsid w:val="00F87980"/>
    <w:rsid w:val="00F9272E"/>
    <w:rsid w:val="00FA1353"/>
    <w:rsid w:val="00FC4011"/>
    <w:rsid w:val="00FC6F2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492CA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9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A2901"/>
    <w:rPr>
      <w:color w:val="0000FF"/>
      <w:u w:val="single"/>
    </w:rPr>
  </w:style>
  <w:style w:type="paragraph" w:customStyle="1" w:styleId="wp-block-paragraph">
    <w:name w:val="wp-block-paragraph"/>
    <w:basedOn w:val="Normal"/>
    <w:rsid w:val="000A2901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0A2901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9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A2901"/>
    <w:rPr>
      <w:color w:val="0000FF"/>
      <w:u w:val="single"/>
    </w:rPr>
  </w:style>
  <w:style w:type="paragraph" w:customStyle="1" w:styleId="wp-block-paragraph">
    <w:name w:val="wp-block-paragraph"/>
    <w:basedOn w:val="Normal"/>
    <w:rsid w:val="000A2901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0A29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doi.org/10.1515/reveh-2023-0023" TargetMode="External"/><Relationship Id="rId12" Type="http://schemas.openxmlformats.org/officeDocument/2006/relationships/hyperlink" Target="https://doi.org/10.1080/15368378.2022.2065683" TargetMode="External"/><Relationship Id="rId13" Type="http://schemas.openxmlformats.org/officeDocument/2006/relationships/hyperlink" Target="https://doi.org/10.1080/15368378.2021.1881866" TargetMode="External"/><Relationship Id="rId14" Type="http://schemas.openxmlformats.org/officeDocument/2006/relationships/hyperlink" Target="https://doi.org/10.1515/reveh-2025-0104" TargetMode="External"/><Relationship Id="rId15" Type="http://schemas.openxmlformats.org/officeDocument/2006/relationships/hyperlink" Target="https://doi.org/10.3389/fpubh.2025.1619781" TargetMode="External"/><Relationship Id="rId16" Type="http://schemas.openxmlformats.org/officeDocument/2006/relationships/hyperlink" Target="https://watermark02.silverchair.com/neco_a_01133.pdf?token=AQECAHi208BE49Ooan9kkhW_Ercy7Dm3ZL_9Cf3qfKAc485ysgAAAkgwggJEBgkqhkiG9w0BBwagggI1MIICMQIBADCCAioGCSqGSIb3DQEHATAeBglghkgBZQMEAS4wEQQMfivk6bKXdL3rbeUIAgEQgIIB-9AmGjkEz6C4a9rQiuXo4Iefml78KciTwLZcQb_hPj9snxm-KwXtBNPpWwCs2rw0y71y_umDJfdUEuzWQhdPcMtU6sTH5ojOkn7T2cfZ8EDJGCEZUpuW0Q354z6yDKdHvHehihPpADCN_ByDAQXLwap52ViN-jbS1abcPHnNSx2aDhAmnPKbfNR6qks3c_uY-ifQXAs6cYYUKNVHo8MiqP0QnIgFrMo2HxVEoVM_9Po2G3GZ4LRjW7733e6O0ozZI7RpPf17pzg0gcWtMiEX-OiG-OF7y108Ay1OqnU6KnWdfXz_SRcQ53-_xFelD3kbDxiOcc_KITZA4oL4iW6BlHw4_yhmWhQbNLLcOT_gsijiNdPhE6F5AJG3QBamrV4RgX1zzBYNQ-p15wHbYOAuT6ZofTfchWnJabN3nSyJzD0wFhhJM0TsYX9oJhqytuST1B2OQplWXJasK0SrOSr5iQRTNn1McgBibfTL5ZdUt94rF7eSClRhxc9yenDDfxsLX-aYdlqck7I4tE_JNQlVkG1VzCCibSeNObOwlovkEed661FIylTgbq_1C1iUGoUszJUVarp-6edZEXXe7DOoNYoWTm1theL-4RnjqnKzZvBQ6ZugmNTqRwBtJBjErlpKl-lSLR2kp0FJZM3eIC6I6Qy2kQ41Q07sMguwqw" TargetMode="External"/><Relationship Id="rId17" Type="http://schemas.openxmlformats.org/officeDocument/2006/relationships/hyperlink" Target="https://doi.org/10.1186/s12940-021-00768-1" TargetMode="Externa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doi.org/10.3389/fpubh.2025.1677583" TargetMode="External"/><Relationship Id="rId6" Type="http://schemas.openxmlformats.org/officeDocument/2006/relationships/hyperlink" Target="https://doi.org/10.3389/fpubh.2025.1693873" TargetMode="External"/><Relationship Id="rId7" Type="http://schemas.openxmlformats.org/officeDocument/2006/relationships/hyperlink" Target="https://doi.org/10.1186/s12940-026-01288-6" TargetMode="External"/><Relationship Id="rId8" Type="http://schemas.openxmlformats.org/officeDocument/2006/relationships/hyperlink" Target="https://icbe-emf.org/wp-content/uploads/2026/09/ICBE-EMF-Child-Health-Cell-Phone-Cell-Tower-EMF-Position-Statement-PDF-982026-1.pdf" TargetMode="External"/><Relationship Id="rId9" Type="http://schemas.openxmlformats.org/officeDocument/2006/relationships/hyperlink" Target="https://doi.org/10.1186/s12940-026-01288-6" TargetMode="External"/><Relationship Id="rId10" Type="http://schemas.openxmlformats.org/officeDocument/2006/relationships/hyperlink" Target="https://doi.org/10.1186/s12940-022-00900-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769</Words>
  <Characters>4386</Characters>
  <Application>Microsoft Macintosh Word</Application>
  <DocSecurity>0</DocSecurity>
  <Lines>36</Lines>
  <Paragraphs>10</Paragraphs>
  <ScaleCrop>false</ScaleCrop>
  <Company>Mary Immaculate College</Company>
  <LinksUpToDate>false</LinksUpToDate>
  <CharactersWithSpaces>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</dc:creator>
  <cp:keywords/>
  <dc:description/>
  <cp:lastModifiedBy>DT</cp:lastModifiedBy>
  <cp:revision>1</cp:revision>
  <dcterms:created xsi:type="dcterms:W3CDTF">2026-10-19T15:37:00Z</dcterms:created>
  <dcterms:modified xsi:type="dcterms:W3CDTF">2026-10-19T15:42:00Z</dcterms:modified>
</cp:coreProperties>
</file>