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16E" w:rsidRPr="00FA1261" w:rsidRDefault="00FA1261" w:rsidP="00FA1261">
      <w:pPr>
        <w:jc w:val="center"/>
        <w:rPr>
          <w:b/>
        </w:rPr>
      </w:pPr>
      <w:r w:rsidRPr="00FA1261">
        <w:rPr>
          <w:b/>
        </w:rPr>
        <w:t>Mobile phone and cordless phone use and the risk for glioma – Analysis</w:t>
      </w:r>
      <w:r w:rsidRPr="00FA1261">
        <w:rPr>
          <w:b/>
        </w:rPr>
        <w:t xml:space="preserve"> </w:t>
      </w:r>
      <w:r w:rsidRPr="00FA1261">
        <w:rPr>
          <w:b/>
        </w:rPr>
        <w:t>of pooled case-control studies in Sweden, 1997–2003 and 2007–2009</w:t>
      </w:r>
      <w:r w:rsidR="00A2377F">
        <w:rPr>
          <w:rStyle w:val="FootnoteReference"/>
          <w:b/>
        </w:rPr>
        <w:footnoteReference w:id="1"/>
      </w:r>
    </w:p>
    <w:p w:rsidR="00A2377F" w:rsidRDefault="00A2377F" w:rsidP="00FA1261">
      <w:pPr>
        <w:jc w:val="center"/>
        <w:rPr>
          <w:b/>
          <w:sz w:val="32"/>
          <w:szCs w:val="32"/>
        </w:rPr>
      </w:pPr>
    </w:p>
    <w:p w:rsidR="00FA1261" w:rsidRPr="00FA1261" w:rsidRDefault="00FA1261" w:rsidP="00FA1261">
      <w:pPr>
        <w:jc w:val="center"/>
        <w:rPr>
          <w:b/>
          <w:sz w:val="32"/>
          <w:szCs w:val="32"/>
        </w:rPr>
      </w:pPr>
      <w:r w:rsidRPr="00FA1261">
        <w:rPr>
          <w:b/>
          <w:sz w:val="32"/>
          <w:szCs w:val="32"/>
        </w:rPr>
        <w:t>Key Findings</w:t>
      </w:r>
    </w:p>
    <w:p w:rsidR="00FA1261" w:rsidRDefault="00FA1261" w:rsidP="00FA1261">
      <w:pPr>
        <w:jc w:val="center"/>
        <w:rPr>
          <w:sz w:val="32"/>
          <w:szCs w:val="32"/>
        </w:rPr>
      </w:pPr>
    </w:p>
    <w:p w:rsidR="00FA1261" w:rsidRDefault="00FA1261" w:rsidP="00FA1261">
      <w:pPr>
        <w:rPr>
          <w:b/>
          <w:sz w:val="24"/>
          <w:szCs w:val="24"/>
        </w:rPr>
      </w:pPr>
      <w:r>
        <w:rPr>
          <w:b/>
          <w:sz w:val="24"/>
          <w:szCs w:val="24"/>
        </w:rPr>
        <w:t>Introduction</w:t>
      </w:r>
    </w:p>
    <w:p w:rsidR="004A239A" w:rsidRDefault="00FA1261" w:rsidP="00FA1261">
      <w:pPr>
        <w:rPr>
          <w:sz w:val="24"/>
          <w:szCs w:val="24"/>
        </w:rPr>
      </w:pPr>
      <w:r>
        <w:rPr>
          <w:sz w:val="24"/>
          <w:szCs w:val="24"/>
        </w:rPr>
        <w:t xml:space="preserve">With 1,498 brain cancer cases and with more than 25 years of multiple types of wireless phone use, this study is the most important study on the risk of tumors from wireless phone use published to date.  </w:t>
      </w:r>
      <w:r w:rsidR="004A239A">
        <w:rPr>
          <w:sz w:val="24"/>
          <w:szCs w:val="24"/>
        </w:rPr>
        <w:t>Most of the analysis was for glioma (</w:t>
      </w:r>
      <w:r w:rsidR="00011C16">
        <w:rPr>
          <w:sz w:val="24"/>
          <w:szCs w:val="24"/>
        </w:rPr>
        <w:t>92.1% of all brain cancers)</w:t>
      </w:r>
      <w:r w:rsidR="00A2377F">
        <w:rPr>
          <w:sz w:val="24"/>
          <w:szCs w:val="24"/>
        </w:rPr>
        <w:t xml:space="preserve"> as are the results shown below</w:t>
      </w:r>
      <w:r w:rsidR="00011C16">
        <w:rPr>
          <w:sz w:val="24"/>
          <w:szCs w:val="24"/>
        </w:rPr>
        <w:t>.</w:t>
      </w:r>
      <w:r w:rsidR="00A2377F">
        <w:rPr>
          <w:sz w:val="24"/>
          <w:szCs w:val="24"/>
        </w:rPr>
        <w:t xml:space="preserve">  The risk for the other tumor types are similar as would be expect because a tumor’s histology is unrelated to the damage caused to brain cells.</w:t>
      </w:r>
    </w:p>
    <w:p w:rsidR="004A239A" w:rsidRDefault="004A239A" w:rsidP="00FA1261">
      <w:pPr>
        <w:rPr>
          <w:sz w:val="24"/>
          <w:szCs w:val="24"/>
        </w:rPr>
      </w:pPr>
    </w:p>
    <w:p w:rsidR="00FA1261" w:rsidRDefault="00A2377F" w:rsidP="00FA1261">
      <w:pPr>
        <w:rPr>
          <w:sz w:val="24"/>
          <w:szCs w:val="24"/>
        </w:rPr>
      </w:pPr>
      <w:r>
        <w:rPr>
          <w:sz w:val="24"/>
          <w:szCs w:val="24"/>
        </w:rPr>
        <w:t>The study</w:t>
      </w:r>
      <w:r w:rsidR="00FA1261">
        <w:rPr>
          <w:sz w:val="24"/>
          <w:szCs w:val="24"/>
        </w:rPr>
        <w:t xml:space="preserve"> reports risks for analog cellphone (radiating 1 Watt), second generation (G2, GSM modulate) cellphones</w:t>
      </w:r>
      <w:r w:rsidR="004A239A">
        <w:rPr>
          <w:sz w:val="24"/>
          <w:szCs w:val="24"/>
        </w:rPr>
        <w:t xml:space="preserve"> (average</w:t>
      </w:r>
      <w:r w:rsidR="004A239A">
        <w:rPr>
          <w:rStyle w:val="FootnoteReference"/>
          <w:sz w:val="24"/>
          <w:szCs w:val="24"/>
        </w:rPr>
        <w:footnoteReference w:id="2"/>
      </w:r>
      <w:r w:rsidR="004A239A">
        <w:rPr>
          <w:sz w:val="24"/>
          <w:szCs w:val="24"/>
        </w:rPr>
        <w:t xml:space="preserve"> radiated power tens of mW)</w:t>
      </w:r>
      <w:r w:rsidR="00FA1261">
        <w:rPr>
          <w:sz w:val="24"/>
          <w:szCs w:val="24"/>
        </w:rPr>
        <w:t>, third generation (G3, UMTS modulated) cellphone</w:t>
      </w:r>
      <w:r w:rsidR="004A239A">
        <w:rPr>
          <w:sz w:val="24"/>
          <w:szCs w:val="24"/>
        </w:rPr>
        <w:t xml:space="preserve"> (average</w:t>
      </w:r>
      <w:r w:rsidR="004A239A" w:rsidRPr="004A239A">
        <w:rPr>
          <w:sz w:val="24"/>
          <w:szCs w:val="24"/>
          <w:vertAlign w:val="superscript"/>
        </w:rPr>
        <w:t>1</w:t>
      </w:r>
      <w:r w:rsidR="004A239A">
        <w:rPr>
          <w:sz w:val="24"/>
          <w:szCs w:val="24"/>
        </w:rPr>
        <w:t xml:space="preserve"> radiated power ten of µW)</w:t>
      </w:r>
      <w:r w:rsidR="00FA1261">
        <w:rPr>
          <w:sz w:val="24"/>
          <w:szCs w:val="24"/>
        </w:rPr>
        <w:t xml:space="preserve"> and cordless phones</w:t>
      </w:r>
      <w:r w:rsidR="004A239A">
        <w:rPr>
          <w:sz w:val="24"/>
          <w:szCs w:val="24"/>
        </w:rPr>
        <w:t xml:space="preserve"> (radiated power 250 mW)</w:t>
      </w:r>
      <w:r w:rsidR="00FA1261">
        <w:rPr>
          <w:sz w:val="24"/>
          <w:szCs w:val="24"/>
        </w:rPr>
        <w:t>.  It also reports the risk from use of various combination</w:t>
      </w:r>
      <w:r w:rsidR="00CB208E">
        <w:rPr>
          <w:sz w:val="24"/>
          <w:szCs w:val="24"/>
        </w:rPr>
        <w:t>s</w:t>
      </w:r>
      <w:r w:rsidR="00FA1261">
        <w:rPr>
          <w:sz w:val="24"/>
          <w:szCs w:val="24"/>
        </w:rPr>
        <w:t xml:space="preserve"> of cellphones. </w:t>
      </w:r>
    </w:p>
    <w:p w:rsidR="004A239A" w:rsidRDefault="004A239A" w:rsidP="00FA1261">
      <w:pPr>
        <w:rPr>
          <w:sz w:val="24"/>
          <w:szCs w:val="24"/>
        </w:rPr>
      </w:pPr>
    </w:p>
    <w:p w:rsidR="004A239A" w:rsidRDefault="004A239A" w:rsidP="00FA1261">
      <w:pPr>
        <w:rPr>
          <w:b/>
          <w:sz w:val="24"/>
          <w:szCs w:val="24"/>
        </w:rPr>
      </w:pPr>
      <w:r w:rsidRPr="004A239A">
        <w:rPr>
          <w:b/>
          <w:sz w:val="24"/>
          <w:szCs w:val="24"/>
        </w:rPr>
        <w:t>Key Findings</w:t>
      </w:r>
    </w:p>
    <w:p w:rsidR="004A239A" w:rsidRDefault="004A239A" w:rsidP="004A239A">
      <w:pPr>
        <w:ind w:left="360"/>
        <w:rPr>
          <w:b/>
          <w:sz w:val="24"/>
          <w:szCs w:val="24"/>
        </w:rPr>
      </w:pPr>
      <w:r>
        <w:rPr>
          <w:b/>
          <w:sz w:val="24"/>
          <w:szCs w:val="24"/>
        </w:rPr>
        <w:t>3G Phones</w:t>
      </w:r>
    </w:p>
    <w:p w:rsidR="009A6EC0" w:rsidRDefault="004A239A" w:rsidP="004A239A">
      <w:pPr>
        <w:ind w:left="360"/>
        <w:rPr>
          <w:sz w:val="24"/>
          <w:szCs w:val="24"/>
        </w:rPr>
      </w:pPr>
      <w:r>
        <w:rPr>
          <w:sz w:val="24"/>
          <w:szCs w:val="24"/>
        </w:rPr>
        <w:t xml:space="preserve">Counter intuitively, these phones had reported the highest risk of any phone at the same level of exposure. </w:t>
      </w:r>
    </w:p>
    <w:p w:rsidR="009A6EC0" w:rsidRDefault="004A239A" w:rsidP="009A6EC0">
      <w:pPr>
        <w:pStyle w:val="ListParagraph"/>
        <w:numPr>
          <w:ilvl w:val="0"/>
          <w:numId w:val="1"/>
        </w:numPr>
        <w:rPr>
          <w:sz w:val="24"/>
          <w:szCs w:val="24"/>
        </w:rPr>
      </w:pPr>
      <w:r w:rsidRPr="009A6EC0">
        <w:rPr>
          <w:sz w:val="24"/>
          <w:szCs w:val="24"/>
        </w:rPr>
        <w:t xml:space="preserve">For </w:t>
      </w:r>
      <w:r w:rsidR="00011C16" w:rsidRPr="009A6EC0">
        <w:rPr>
          <w:sz w:val="24"/>
          <w:szCs w:val="24"/>
        </w:rPr>
        <w:t>&gt;</w:t>
      </w:r>
      <w:r w:rsidRPr="009A6EC0">
        <w:rPr>
          <w:sz w:val="24"/>
          <w:szCs w:val="24"/>
        </w:rPr>
        <w:t xml:space="preserve"> 5 to </w:t>
      </w:r>
      <w:r w:rsidR="00011C16" w:rsidRPr="009A6EC0">
        <w:rPr>
          <w:sz w:val="24"/>
          <w:szCs w:val="24"/>
        </w:rPr>
        <w:t>10</w:t>
      </w:r>
      <w:r w:rsidRPr="009A6EC0">
        <w:rPr>
          <w:sz w:val="24"/>
          <w:szCs w:val="24"/>
        </w:rPr>
        <w:t xml:space="preserve"> years since first use OR=4.1</w:t>
      </w:r>
      <w:r w:rsidR="00011C16">
        <w:rPr>
          <w:rStyle w:val="FootnoteReference"/>
          <w:sz w:val="24"/>
          <w:szCs w:val="24"/>
        </w:rPr>
        <w:footnoteReference w:id="3"/>
      </w:r>
      <w:r w:rsidRPr="009A6EC0">
        <w:rPr>
          <w:sz w:val="24"/>
          <w:szCs w:val="24"/>
        </w:rPr>
        <w:t>;</w:t>
      </w:r>
    </w:p>
    <w:p w:rsidR="009A6EC0" w:rsidRPr="009A6EC0" w:rsidRDefault="009A6EC0" w:rsidP="009A6EC0">
      <w:pPr>
        <w:pStyle w:val="ListParagraph"/>
        <w:numPr>
          <w:ilvl w:val="1"/>
          <w:numId w:val="1"/>
        </w:numPr>
        <w:rPr>
          <w:sz w:val="24"/>
          <w:szCs w:val="24"/>
        </w:rPr>
      </w:pPr>
      <w:r>
        <w:rPr>
          <w:sz w:val="24"/>
          <w:szCs w:val="24"/>
        </w:rPr>
        <w:t>Next closest risk, OR=1.7 for 2G cellphone (thousand times higher power)</w:t>
      </w:r>
      <w:r w:rsidRPr="009A6EC0">
        <w:rPr>
          <w:sz w:val="24"/>
          <w:szCs w:val="24"/>
        </w:rPr>
        <w:tab/>
      </w:r>
    </w:p>
    <w:p w:rsidR="009A6EC0" w:rsidRDefault="009A6EC0" w:rsidP="009A6EC0">
      <w:pPr>
        <w:pStyle w:val="ListParagraph"/>
        <w:numPr>
          <w:ilvl w:val="0"/>
          <w:numId w:val="1"/>
        </w:numPr>
        <w:rPr>
          <w:sz w:val="24"/>
          <w:szCs w:val="24"/>
        </w:rPr>
      </w:pPr>
      <w:r>
        <w:rPr>
          <w:sz w:val="24"/>
          <w:szCs w:val="24"/>
        </w:rPr>
        <w:t>R</w:t>
      </w:r>
      <w:r w:rsidR="00011C16" w:rsidRPr="009A6EC0">
        <w:rPr>
          <w:sz w:val="24"/>
          <w:szCs w:val="24"/>
        </w:rPr>
        <w:t xml:space="preserve">isk increase per 100 cumulative of hours of risk was 4.7%; </w:t>
      </w:r>
    </w:p>
    <w:p w:rsidR="009A6EC0" w:rsidRDefault="009A6EC0" w:rsidP="009A6EC0">
      <w:pPr>
        <w:pStyle w:val="ListParagraph"/>
        <w:numPr>
          <w:ilvl w:val="1"/>
          <w:numId w:val="1"/>
        </w:numPr>
        <w:rPr>
          <w:sz w:val="24"/>
          <w:szCs w:val="24"/>
        </w:rPr>
      </w:pPr>
      <w:r>
        <w:rPr>
          <w:sz w:val="24"/>
          <w:szCs w:val="24"/>
        </w:rPr>
        <w:t>Next closest risk, 4.3% analog cellphone (900 thousand times higher power)</w:t>
      </w:r>
    </w:p>
    <w:p w:rsidR="009A6EC0" w:rsidRDefault="009A6EC0" w:rsidP="009A6EC0">
      <w:pPr>
        <w:pStyle w:val="ListParagraph"/>
        <w:numPr>
          <w:ilvl w:val="0"/>
          <w:numId w:val="1"/>
        </w:numPr>
        <w:rPr>
          <w:sz w:val="24"/>
          <w:szCs w:val="24"/>
        </w:rPr>
      </w:pPr>
      <w:r>
        <w:rPr>
          <w:sz w:val="24"/>
          <w:szCs w:val="24"/>
        </w:rPr>
        <w:t>R</w:t>
      </w:r>
      <w:r w:rsidR="00011C16" w:rsidRPr="009A6EC0">
        <w:rPr>
          <w:sz w:val="24"/>
          <w:szCs w:val="24"/>
        </w:rPr>
        <w:t>isk increase per year since firs</w:t>
      </w:r>
      <w:r w:rsidRPr="009A6EC0">
        <w:rPr>
          <w:sz w:val="24"/>
          <w:szCs w:val="24"/>
        </w:rPr>
        <w:t>t</w:t>
      </w:r>
      <w:r w:rsidR="00011C16" w:rsidRPr="009A6EC0">
        <w:rPr>
          <w:sz w:val="24"/>
          <w:szCs w:val="24"/>
        </w:rPr>
        <w:t xml:space="preserve"> use was 15.7%; </w:t>
      </w:r>
    </w:p>
    <w:p w:rsidR="009A6EC0" w:rsidRDefault="009A6EC0" w:rsidP="009A6EC0">
      <w:pPr>
        <w:pStyle w:val="ListParagraph"/>
        <w:numPr>
          <w:ilvl w:val="1"/>
          <w:numId w:val="1"/>
        </w:numPr>
        <w:rPr>
          <w:sz w:val="24"/>
          <w:szCs w:val="24"/>
        </w:rPr>
      </w:pPr>
      <w:r>
        <w:rPr>
          <w:sz w:val="24"/>
          <w:szCs w:val="24"/>
        </w:rPr>
        <w:t>Next close risk</w:t>
      </w:r>
      <w:r w:rsidR="00052764">
        <w:rPr>
          <w:sz w:val="24"/>
          <w:szCs w:val="24"/>
        </w:rPr>
        <w:t xml:space="preserve">, 5.5% analog cellphone </w:t>
      </w:r>
      <w:r w:rsidR="00052764">
        <w:rPr>
          <w:sz w:val="24"/>
          <w:szCs w:val="24"/>
        </w:rPr>
        <w:t>(900 thousand times higher power)</w:t>
      </w:r>
    </w:p>
    <w:p w:rsidR="00052764" w:rsidRDefault="009A6EC0" w:rsidP="009A6EC0">
      <w:pPr>
        <w:pStyle w:val="ListParagraph"/>
        <w:numPr>
          <w:ilvl w:val="0"/>
          <w:numId w:val="1"/>
        </w:numPr>
        <w:rPr>
          <w:sz w:val="24"/>
          <w:szCs w:val="24"/>
        </w:rPr>
      </w:pPr>
      <w:r>
        <w:rPr>
          <w:sz w:val="24"/>
          <w:szCs w:val="24"/>
        </w:rPr>
        <w:t>R</w:t>
      </w:r>
      <w:r w:rsidR="00011C16" w:rsidRPr="009A6EC0">
        <w:rPr>
          <w:sz w:val="24"/>
          <w:szCs w:val="24"/>
        </w:rPr>
        <w:t>isk from ipsilateral</w:t>
      </w:r>
      <w:r w:rsidR="00011C16">
        <w:rPr>
          <w:rStyle w:val="FootnoteReference"/>
          <w:sz w:val="24"/>
          <w:szCs w:val="24"/>
        </w:rPr>
        <w:footnoteReference w:id="4"/>
      </w:r>
      <w:r w:rsidR="00011C16" w:rsidRPr="009A6EC0">
        <w:rPr>
          <w:sz w:val="24"/>
          <w:szCs w:val="24"/>
        </w:rPr>
        <w:t xml:space="preserve"> use, OR=2.3;</w:t>
      </w:r>
    </w:p>
    <w:p w:rsidR="009A6EC0" w:rsidRDefault="00052764" w:rsidP="00052764">
      <w:pPr>
        <w:pStyle w:val="ListParagraph"/>
        <w:numPr>
          <w:ilvl w:val="1"/>
          <w:numId w:val="1"/>
        </w:numPr>
        <w:rPr>
          <w:sz w:val="24"/>
          <w:szCs w:val="24"/>
        </w:rPr>
      </w:pPr>
      <w:r>
        <w:rPr>
          <w:sz w:val="24"/>
          <w:szCs w:val="24"/>
        </w:rPr>
        <w:t xml:space="preserve">Next closest risk, OR=2.0 analog cellphone </w:t>
      </w:r>
      <w:r>
        <w:rPr>
          <w:sz w:val="24"/>
          <w:szCs w:val="24"/>
        </w:rPr>
        <w:t>(900 thousand times higher power)</w:t>
      </w:r>
      <w:r w:rsidR="00011C16" w:rsidRPr="009A6EC0">
        <w:rPr>
          <w:sz w:val="24"/>
          <w:szCs w:val="24"/>
        </w:rPr>
        <w:t xml:space="preserve"> </w:t>
      </w:r>
    </w:p>
    <w:p w:rsidR="00052764" w:rsidRDefault="009A6EC0" w:rsidP="009A6EC0">
      <w:pPr>
        <w:pStyle w:val="ListParagraph"/>
        <w:numPr>
          <w:ilvl w:val="0"/>
          <w:numId w:val="1"/>
        </w:numPr>
        <w:rPr>
          <w:sz w:val="24"/>
          <w:szCs w:val="24"/>
        </w:rPr>
      </w:pPr>
      <w:r>
        <w:rPr>
          <w:sz w:val="24"/>
          <w:szCs w:val="24"/>
        </w:rPr>
        <w:t>R</w:t>
      </w:r>
      <w:r w:rsidR="00011C16" w:rsidRPr="009A6EC0">
        <w:rPr>
          <w:sz w:val="24"/>
          <w:szCs w:val="24"/>
        </w:rPr>
        <w:t>isk of contralateral</w:t>
      </w:r>
      <w:r w:rsidR="00011C16">
        <w:rPr>
          <w:rStyle w:val="FootnoteReference"/>
          <w:sz w:val="24"/>
          <w:szCs w:val="24"/>
        </w:rPr>
        <w:footnoteReference w:id="5"/>
      </w:r>
      <w:r w:rsidR="00011C16" w:rsidRPr="009A6EC0">
        <w:rPr>
          <w:sz w:val="24"/>
          <w:szCs w:val="24"/>
        </w:rPr>
        <w:t xml:space="preserve"> use, OR=1.9;</w:t>
      </w:r>
    </w:p>
    <w:p w:rsidR="009A6EC0" w:rsidRDefault="00052764" w:rsidP="00052764">
      <w:pPr>
        <w:pStyle w:val="ListParagraph"/>
        <w:numPr>
          <w:ilvl w:val="1"/>
          <w:numId w:val="1"/>
        </w:numPr>
        <w:rPr>
          <w:sz w:val="24"/>
          <w:szCs w:val="24"/>
        </w:rPr>
      </w:pPr>
      <w:r>
        <w:rPr>
          <w:sz w:val="24"/>
          <w:szCs w:val="24"/>
        </w:rPr>
        <w:t xml:space="preserve">Next closest risk, OR=1.3 analog cellphone </w:t>
      </w:r>
      <w:r>
        <w:rPr>
          <w:sz w:val="24"/>
          <w:szCs w:val="24"/>
        </w:rPr>
        <w:t>(900 thousand times higher power)</w:t>
      </w:r>
    </w:p>
    <w:p w:rsidR="004A239A" w:rsidRDefault="009A6EC0" w:rsidP="009A6EC0">
      <w:pPr>
        <w:pStyle w:val="ListParagraph"/>
        <w:numPr>
          <w:ilvl w:val="0"/>
          <w:numId w:val="1"/>
        </w:numPr>
        <w:rPr>
          <w:sz w:val="24"/>
          <w:szCs w:val="24"/>
        </w:rPr>
      </w:pPr>
      <w:r w:rsidRPr="009A6EC0">
        <w:rPr>
          <w:sz w:val="24"/>
          <w:szCs w:val="24"/>
        </w:rPr>
        <w:t>For &gt; 5 to 10 years since first</w:t>
      </w:r>
      <w:r>
        <w:rPr>
          <w:sz w:val="24"/>
          <w:szCs w:val="24"/>
        </w:rPr>
        <w:t xml:space="preserve"> ipsilateral use, OR=1.9;</w:t>
      </w:r>
    </w:p>
    <w:p w:rsidR="00052764" w:rsidRDefault="00052764" w:rsidP="00052764">
      <w:pPr>
        <w:pStyle w:val="ListParagraph"/>
        <w:numPr>
          <w:ilvl w:val="1"/>
          <w:numId w:val="1"/>
        </w:numPr>
        <w:rPr>
          <w:sz w:val="24"/>
          <w:szCs w:val="24"/>
        </w:rPr>
      </w:pPr>
      <w:r>
        <w:rPr>
          <w:sz w:val="24"/>
          <w:szCs w:val="24"/>
        </w:rPr>
        <w:t xml:space="preserve">Next closest risk, OR=1.8 cordless phone </w:t>
      </w:r>
      <w:r>
        <w:rPr>
          <w:sz w:val="24"/>
          <w:szCs w:val="24"/>
        </w:rPr>
        <w:t>(thousand times higher power)</w:t>
      </w:r>
    </w:p>
    <w:p w:rsidR="009A6EC0" w:rsidRPr="009A6EC0" w:rsidRDefault="009A6EC0" w:rsidP="009A6EC0">
      <w:pPr>
        <w:pStyle w:val="ListParagraph"/>
        <w:numPr>
          <w:ilvl w:val="0"/>
          <w:numId w:val="1"/>
        </w:numPr>
        <w:rPr>
          <w:sz w:val="24"/>
          <w:szCs w:val="24"/>
        </w:rPr>
      </w:pPr>
      <w:r w:rsidRPr="009A6EC0">
        <w:rPr>
          <w:sz w:val="24"/>
          <w:szCs w:val="24"/>
        </w:rPr>
        <w:t>For &gt; 5 to 10 years since first</w:t>
      </w:r>
      <w:r>
        <w:rPr>
          <w:sz w:val="24"/>
          <w:szCs w:val="24"/>
        </w:rPr>
        <w:t xml:space="preserve"> </w:t>
      </w:r>
      <w:r>
        <w:rPr>
          <w:sz w:val="24"/>
          <w:szCs w:val="24"/>
        </w:rPr>
        <w:t>contralateral</w:t>
      </w:r>
      <w:r>
        <w:rPr>
          <w:sz w:val="24"/>
          <w:szCs w:val="24"/>
        </w:rPr>
        <w:t xml:space="preserve"> use, OR=1.</w:t>
      </w:r>
      <w:r>
        <w:rPr>
          <w:sz w:val="24"/>
          <w:szCs w:val="24"/>
        </w:rPr>
        <w:t>3</w:t>
      </w:r>
      <w:r>
        <w:rPr>
          <w:sz w:val="24"/>
          <w:szCs w:val="24"/>
        </w:rPr>
        <w:t>;</w:t>
      </w:r>
    </w:p>
    <w:p w:rsidR="00052764" w:rsidRDefault="00052764" w:rsidP="00052764">
      <w:pPr>
        <w:pStyle w:val="ListParagraph"/>
        <w:numPr>
          <w:ilvl w:val="1"/>
          <w:numId w:val="1"/>
        </w:numPr>
        <w:rPr>
          <w:sz w:val="24"/>
          <w:szCs w:val="24"/>
        </w:rPr>
      </w:pPr>
      <w:r>
        <w:rPr>
          <w:sz w:val="24"/>
          <w:szCs w:val="24"/>
        </w:rPr>
        <w:lastRenderedPageBreak/>
        <w:t>Next closest risk, OR=1.</w:t>
      </w:r>
      <w:r>
        <w:rPr>
          <w:sz w:val="24"/>
          <w:szCs w:val="24"/>
        </w:rPr>
        <w:t>2</w:t>
      </w:r>
      <w:r>
        <w:rPr>
          <w:sz w:val="24"/>
          <w:szCs w:val="24"/>
        </w:rPr>
        <w:t xml:space="preserve"> cordless phone (thousand times higher power)</w:t>
      </w:r>
    </w:p>
    <w:p w:rsidR="009A6EC0" w:rsidRDefault="00D65F3C" w:rsidP="00052764">
      <w:pPr>
        <w:pStyle w:val="ListParagraph"/>
        <w:numPr>
          <w:ilvl w:val="0"/>
          <w:numId w:val="1"/>
        </w:numPr>
        <w:rPr>
          <w:sz w:val="24"/>
          <w:szCs w:val="24"/>
        </w:rPr>
      </w:pPr>
      <w:r>
        <w:rPr>
          <w:sz w:val="24"/>
          <w:szCs w:val="24"/>
        </w:rPr>
        <w:t>From 512 to 1,466 cumulative hours of use</w:t>
      </w:r>
      <w:r w:rsidRPr="00D65F3C">
        <w:rPr>
          <w:sz w:val="24"/>
          <w:szCs w:val="24"/>
          <w:vertAlign w:val="superscript"/>
        </w:rPr>
        <w:t>2</w:t>
      </w:r>
      <w:r>
        <w:rPr>
          <w:sz w:val="24"/>
          <w:szCs w:val="24"/>
        </w:rPr>
        <w:t xml:space="preserve">, OR=3.0 </w:t>
      </w:r>
    </w:p>
    <w:p w:rsidR="00D65F3C" w:rsidRDefault="00D65F3C" w:rsidP="00D65F3C">
      <w:pPr>
        <w:pStyle w:val="ListParagraph"/>
        <w:numPr>
          <w:ilvl w:val="1"/>
          <w:numId w:val="1"/>
        </w:numPr>
        <w:rPr>
          <w:sz w:val="24"/>
          <w:szCs w:val="24"/>
        </w:rPr>
      </w:pPr>
      <w:r>
        <w:rPr>
          <w:sz w:val="24"/>
          <w:szCs w:val="24"/>
        </w:rPr>
        <w:t xml:space="preserve">Next closest, OR=1.8 analog cellphone </w:t>
      </w:r>
      <w:r>
        <w:rPr>
          <w:sz w:val="24"/>
          <w:szCs w:val="24"/>
        </w:rPr>
        <w:t>(900 thousand times higher power)</w:t>
      </w:r>
    </w:p>
    <w:p w:rsidR="00D2435F" w:rsidRDefault="00D2435F" w:rsidP="00D2435F">
      <w:pPr>
        <w:ind w:left="360"/>
        <w:rPr>
          <w:b/>
          <w:sz w:val="24"/>
          <w:szCs w:val="24"/>
        </w:rPr>
      </w:pPr>
      <w:r w:rsidRPr="00D2435F">
        <w:rPr>
          <w:b/>
          <w:sz w:val="24"/>
          <w:szCs w:val="24"/>
        </w:rPr>
        <w:t>Comparative Risk for 2</w:t>
      </w:r>
      <w:r w:rsidRPr="00D2435F">
        <w:rPr>
          <w:b/>
          <w:sz w:val="24"/>
          <w:szCs w:val="24"/>
          <w:vertAlign w:val="superscript"/>
        </w:rPr>
        <w:t>nd</w:t>
      </w:r>
      <w:r w:rsidRPr="00D2435F">
        <w:rPr>
          <w:b/>
          <w:sz w:val="24"/>
          <w:szCs w:val="24"/>
        </w:rPr>
        <w:t xml:space="preserve"> and 3</w:t>
      </w:r>
      <w:r w:rsidRPr="00D2435F">
        <w:rPr>
          <w:b/>
          <w:sz w:val="24"/>
          <w:szCs w:val="24"/>
          <w:vertAlign w:val="superscript"/>
        </w:rPr>
        <w:t>rd</w:t>
      </w:r>
      <w:r w:rsidRPr="00D2435F">
        <w:rPr>
          <w:b/>
          <w:sz w:val="24"/>
          <w:szCs w:val="24"/>
        </w:rPr>
        <w:t xml:space="preserve"> Generation Cellphones</w:t>
      </w:r>
    </w:p>
    <w:p w:rsidR="00D2435F" w:rsidRDefault="00AC78A6" w:rsidP="00D2435F">
      <w:pPr>
        <w:ind w:left="360"/>
        <w:rPr>
          <w:i/>
          <w:sz w:val="24"/>
          <w:szCs w:val="24"/>
        </w:rPr>
      </w:pPr>
      <w:r>
        <w:rPr>
          <w:i/>
          <w:sz w:val="24"/>
          <w:szCs w:val="24"/>
        </w:rPr>
        <w:t xml:space="preserve">Risk per </w:t>
      </w:r>
      <w:r w:rsidR="00D2435F" w:rsidRPr="00D2435F">
        <w:rPr>
          <w:i/>
          <w:sz w:val="24"/>
          <w:szCs w:val="24"/>
        </w:rPr>
        <w:t>Cumulative h</w:t>
      </w:r>
      <w:r>
        <w:rPr>
          <w:i/>
          <w:sz w:val="24"/>
          <w:szCs w:val="24"/>
        </w:rPr>
        <w:t>ours of use</w:t>
      </w:r>
    </w:p>
    <w:p w:rsidR="003B4BF2" w:rsidRPr="00D2435F" w:rsidRDefault="003B4BF2" w:rsidP="00D2435F">
      <w:pPr>
        <w:ind w:left="360"/>
        <w:rPr>
          <w:i/>
          <w:sz w:val="24"/>
          <w:szCs w:val="24"/>
        </w:rPr>
      </w:pPr>
    </w:p>
    <w:p w:rsidR="00D2435F" w:rsidRDefault="003B4BF2" w:rsidP="00D2435F">
      <w:pPr>
        <w:ind w:left="360"/>
        <w:rPr>
          <w:b/>
          <w:sz w:val="24"/>
          <w:szCs w:val="24"/>
        </w:rPr>
      </w:pPr>
      <w:r w:rsidRPr="003B4BF2">
        <w:drawing>
          <wp:inline distT="0" distB="0" distL="0" distR="0" wp14:anchorId="457F10B3" wp14:editId="36B087CF">
            <wp:extent cx="5943600" cy="268099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680990"/>
                    </a:xfrm>
                    <a:prstGeom prst="rect">
                      <a:avLst/>
                    </a:prstGeom>
                    <a:noFill/>
                    <a:ln>
                      <a:noFill/>
                    </a:ln>
                  </pic:spPr>
                </pic:pic>
              </a:graphicData>
            </a:graphic>
          </wp:inline>
        </w:drawing>
      </w:r>
    </w:p>
    <w:p w:rsidR="00D2435F" w:rsidRDefault="00D2435F" w:rsidP="00D2435F">
      <w:pPr>
        <w:ind w:left="360"/>
        <w:rPr>
          <w:b/>
          <w:sz w:val="24"/>
          <w:szCs w:val="24"/>
        </w:rPr>
      </w:pPr>
    </w:p>
    <w:p w:rsidR="00D2435F" w:rsidRDefault="00D2435F" w:rsidP="00D2435F">
      <w:pPr>
        <w:ind w:left="360"/>
        <w:rPr>
          <w:b/>
          <w:sz w:val="24"/>
          <w:szCs w:val="24"/>
        </w:rPr>
      </w:pPr>
      <w:proofErr w:type="gramStart"/>
      <w:r>
        <w:rPr>
          <w:b/>
          <w:sz w:val="24"/>
          <w:szCs w:val="24"/>
        </w:rPr>
        <w:t>Figure 1.</w:t>
      </w:r>
      <w:proofErr w:type="gramEnd"/>
      <w:r>
        <w:rPr>
          <w:b/>
          <w:sz w:val="24"/>
          <w:szCs w:val="24"/>
        </w:rPr>
        <w:t xml:space="preserve"> Increased Risk per Cumulative Hours of 2</w:t>
      </w:r>
      <w:r w:rsidRPr="00D2435F">
        <w:rPr>
          <w:b/>
          <w:sz w:val="24"/>
          <w:szCs w:val="24"/>
          <w:vertAlign w:val="superscript"/>
        </w:rPr>
        <w:t>nd</w:t>
      </w:r>
      <w:r>
        <w:rPr>
          <w:b/>
          <w:sz w:val="24"/>
          <w:szCs w:val="24"/>
        </w:rPr>
        <w:t xml:space="preserve"> and 3</w:t>
      </w:r>
      <w:r w:rsidRPr="00D2435F">
        <w:rPr>
          <w:b/>
          <w:sz w:val="24"/>
          <w:szCs w:val="24"/>
          <w:vertAlign w:val="superscript"/>
        </w:rPr>
        <w:t>rd</w:t>
      </w:r>
      <w:r>
        <w:rPr>
          <w:b/>
          <w:sz w:val="24"/>
          <w:szCs w:val="24"/>
        </w:rPr>
        <w:t xml:space="preserve"> Generation Cellphone Use</w:t>
      </w:r>
    </w:p>
    <w:p w:rsidR="003B4BF2" w:rsidRDefault="003B4BF2" w:rsidP="003B4BF2">
      <w:pPr>
        <w:rPr>
          <w:sz w:val="24"/>
          <w:szCs w:val="24"/>
        </w:rPr>
      </w:pPr>
    </w:p>
    <w:p w:rsidR="00D2435F" w:rsidRDefault="003B4BF2" w:rsidP="00D2435F">
      <w:pPr>
        <w:ind w:left="360"/>
        <w:rPr>
          <w:sz w:val="24"/>
          <w:szCs w:val="24"/>
        </w:rPr>
      </w:pPr>
      <w:r>
        <w:rPr>
          <w:sz w:val="24"/>
          <w:szCs w:val="24"/>
        </w:rPr>
        <w:t>As can be seen over 10,000 cumulative hours the risk of using a 3</w:t>
      </w:r>
      <w:r w:rsidRPr="003B4BF2">
        <w:rPr>
          <w:sz w:val="24"/>
          <w:szCs w:val="24"/>
          <w:vertAlign w:val="superscript"/>
        </w:rPr>
        <w:t>rd</w:t>
      </w:r>
      <w:r>
        <w:rPr>
          <w:sz w:val="24"/>
          <w:szCs w:val="24"/>
        </w:rPr>
        <w:t xml:space="preserve"> generation cellphone is about 25 times higher.  Over a 20</w:t>
      </w:r>
      <w:r w:rsidR="00AC78A6">
        <w:rPr>
          <w:sz w:val="24"/>
          <w:szCs w:val="24"/>
        </w:rPr>
        <w:t xml:space="preserve"> year period, 10,000 cumulative hour</w:t>
      </w:r>
      <w:r w:rsidR="00FA50DF">
        <w:rPr>
          <w:sz w:val="24"/>
          <w:szCs w:val="24"/>
        </w:rPr>
        <w:t>s</w:t>
      </w:r>
      <w:r w:rsidR="00AC78A6">
        <w:rPr>
          <w:sz w:val="24"/>
          <w:szCs w:val="24"/>
        </w:rPr>
        <w:t xml:space="preserve"> is about 1 hour, 11 minutes per day; over a 30 year period it is about 47 minutes per day.</w:t>
      </w:r>
    </w:p>
    <w:p w:rsidR="003B4BF2" w:rsidRPr="0066750C" w:rsidRDefault="003B4BF2" w:rsidP="0066750C">
      <w:pPr>
        <w:rPr>
          <w:sz w:val="24"/>
          <w:szCs w:val="24"/>
        </w:rPr>
      </w:pPr>
    </w:p>
    <w:p w:rsidR="00D2435F" w:rsidRPr="00D2435F" w:rsidRDefault="00D2435F" w:rsidP="00D2435F">
      <w:pPr>
        <w:ind w:left="360"/>
        <w:rPr>
          <w:b/>
          <w:sz w:val="24"/>
          <w:szCs w:val="24"/>
        </w:rPr>
      </w:pPr>
      <w:r>
        <w:rPr>
          <w:b/>
          <w:sz w:val="24"/>
          <w:szCs w:val="24"/>
        </w:rPr>
        <w:t>Mechanisms</w:t>
      </w:r>
    </w:p>
    <w:p w:rsidR="00D65F3C" w:rsidRPr="00D65F3C" w:rsidRDefault="00D65F3C" w:rsidP="00D65F3C">
      <w:pPr>
        <w:ind w:left="360"/>
        <w:rPr>
          <w:sz w:val="24"/>
          <w:szCs w:val="24"/>
        </w:rPr>
      </w:pPr>
      <w:r>
        <w:rPr>
          <w:sz w:val="24"/>
          <w:szCs w:val="24"/>
        </w:rPr>
        <w:t xml:space="preserve">The paper describes a possible mechanism why a particular modulation technique could explain why </w:t>
      </w:r>
      <w:r w:rsidR="0066750C">
        <w:rPr>
          <w:sz w:val="24"/>
          <w:szCs w:val="24"/>
        </w:rPr>
        <w:t xml:space="preserve">a thousand fold less </w:t>
      </w:r>
      <w:r>
        <w:rPr>
          <w:sz w:val="24"/>
          <w:szCs w:val="24"/>
        </w:rPr>
        <w:t xml:space="preserve">radiated power </w:t>
      </w:r>
      <w:r w:rsidR="0066750C">
        <w:rPr>
          <w:sz w:val="24"/>
          <w:szCs w:val="24"/>
        </w:rPr>
        <w:t>by</w:t>
      </w:r>
      <w:r>
        <w:rPr>
          <w:sz w:val="24"/>
          <w:szCs w:val="24"/>
        </w:rPr>
        <w:t xml:space="preserve"> a 3G, UMTS modulated phone</w:t>
      </w:r>
      <w:r w:rsidR="0066750C">
        <w:rPr>
          <w:sz w:val="24"/>
          <w:szCs w:val="24"/>
        </w:rPr>
        <w:t xml:space="preserve"> relative to a 2G</w:t>
      </w:r>
      <w:r w:rsidR="00FA50DF">
        <w:rPr>
          <w:sz w:val="24"/>
          <w:szCs w:val="24"/>
        </w:rPr>
        <w:t>, GSM modulate</w:t>
      </w:r>
      <w:r w:rsidR="0066750C">
        <w:rPr>
          <w:sz w:val="24"/>
          <w:szCs w:val="24"/>
        </w:rPr>
        <w:t xml:space="preserve"> phone</w:t>
      </w:r>
      <w:r w:rsidR="00FA50DF">
        <w:rPr>
          <w:sz w:val="24"/>
          <w:szCs w:val="24"/>
        </w:rPr>
        <w:t xml:space="preserve"> would have</w:t>
      </w:r>
      <w:r w:rsidR="0066750C">
        <w:rPr>
          <w:sz w:val="24"/>
          <w:szCs w:val="24"/>
        </w:rPr>
        <w:t xml:space="preserve"> a significantly</w:t>
      </w:r>
      <w:r>
        <w:rPr>
          <w:sz w:val="24"/>
          <w:szCs w:val="24"/>
        </w:rPr>
        <w:t xml:space="preserve"> highest risk of brain cancer.</w:t>
      </w:r>
      <w:r w:rsidR="0066750C">
        <w:rPr>
          <w:sz w:val="24"/>
          <w:szCs w:val="24"/>
        </w:rPr>
        <w:t xml:space="preserve">  The authors write:</w:t>
      </w:r>
    </w:p>
    <w:p w:rsidR="00011C16" w:rsidRDefault="00D65F3C" w:rsidP="00D65F3C">
      <w:pPr>
        <w:ind w:left="1080"/>
        <w:rPr>
          <w:sz w:val="24"/>
          <w:szCs w:val="24"/>
        </w:rPr>
      </w:pPr>
      <w:r w:rsidRPr="00D65F3C">
        <w:rPr>
          <w:sz w:val="24"/>
          <w:szCs w:val="24"/>
        </w:rPr>
        <w:t>To our</w:t>
      </w:r>
      <w:r>
        <w:rPr>
          <w:sz w:val="24"/>
          <w:szCs w:val="24"/>
        </w:rPr>
        <w:t xml:space="preserve"> </w:t>
      </w:r>
      <w:r w:rsidRPr="00D65F3C">
        <w:rPr>
          <w:sz w:val="24"/>
          <w:szCs w:val="24"/>
        </w:rPr>
        <w:t>knowledge, there are only two mechanistic studies, which</w:t>
      </w:r>
      <w:r>
        <w:rPr>
          <w:sz w:val="24"/>
          <w:szCs w:val="24"/>
        </w:rPr>
        <w:t xml:space="preserve"> </w:t>
      </w:r>
      <w:r w:rsidRPr="00D65F3C">
        <w:rPr>
          <w:sz w:val="24"/>
          <w:szCs w:val="24"/>
        </w:rPr>
        <w:t xml:space="preserve">compare effects of 2G and </w:t>
      </w:r>
      <w:r>
        <w:rPr>
          <w:sz w:val="24"/>
          <w:szCs w:val="24"/>
        </w:rPr>
        <w:t>3G signals using the same exper</w:t>
      </w:r>
      <w:r w:rsidRPr="00D65F3C">
        <w:rPr>
          <w:sz w:val="24"/>
          <w:szCs w:val="24"/>
        </w:rPr>
        <w:t>imental approach under well-defined conditions of exposure</w:t>
      </w:r>
      <w:r>
        <w:rPr>
          <w:sz w:val="24"/>
          <w:szCs w:val="24"/>
        </w:rPr>
        <w:t xml:space="preserve"> </w:t>
      </w:r>
      <w:r w:rsidRPr="00D65F3C">
        <w:rPr>
          <w:sz w:val="24"/>
          <w:szCs w:val="24"/>
        </w:rPr>
        <w:t>[32</w:t>
      </w:r>
      <w:r w:rsidR="002B12A4">
        <w:rPr>
          <w:rStyle w:val="FootnoteReference"/>
          <w:sz w:val="24"/>
          <w:szCs w:val="24"/>
        </w:rPr>
        <w:footnoteReference w:id="6"/>
      </w:r>
      <w:proofErr w:type="gramStart"/>
      <w:r w:rsidRPr="00D65F3C">
        <w:rPr>
          <w:sz w:val="24"/>
          <w:szCs w:val="24"/>
        </w:rPr>
        <w:t>,34</w:t>
      </w:r>
      <w:proofErr w:type="gramEnd"/>
      <w:r w:rsidR="002B12A4">
        <w:rPr>
          <w:rStyle w:val="FootnoteReference"/>
          <w:sz w:val="24"/>
          <w:szCs w:val="24"/>
        </w:rPr>
        <w:footnoteReference w:id="7"/>
      </w:r>
      <w:r w:rsidRPr="00D65F3C">
        <w:rPr>
          <w:sz w:val="24"/>
          <w:szCs w:val="24"/>
        </w:rPr>
        <w:t>]. UMTS MWs aff</w:t>
      </w:r>
      <w:r>
        <w:rPr>
          <w:sz w:val="24"/>
          <w:szCs w:val="24"/>
        </w:rPr>
        <w:t>ected chromatin and inhibit for</w:t>
      </w:r>
      <w:r w:rsidRPr="00D65F3C">
        <w:rPr>
          <w:sz w:val="24"/>
          <w:szCs w:val="24"/>
        </w:rPr>
        <w:t xml:space="preserve">mation of DNA double-strand breaks (DSB) co-localizing53BP1/gamma-H2AX </w:t>
      </w:r>
      <w:r>
        <w:rPr>
          <w:sz w:val="24"/>
          <w:szCs w:val="24"/>
        </w:rPr>
        <w:t>DNA repair foci in human lympho</w:t>
      </w:r>
      <w:r w:rsidRPr="00D65F3C">
        <w:rPr>
          <w:sz w:val="24"/>
          <w:szCs w:val="24"/>
        </w:rPr>
        <w:t xml:space="preserve">cytes from hypersensitive and healthy persons [32]. </w:t>
      </w:r>
      <w:r w:rsidRPr="00D65F3C">
        <w:rPr>
          <w:sz w:val="24"/>
          <w:szCs w:val="24"/>
        </w:rPr>
        <w:lastRenderedPageBreak/>
        <w:t>The data</w:t>
      </w:r>
      <w:r>
        <w:rPr>
          <w:sz w:val="24"/>
          <w:szCs w:val="24"/>
        </w:rPr>
        <w:t xml:space="preserve"> </w:t>
      </w:r>
      <w:r w:rsidRPr="00D65F3C">
        <w:rPr>
          <w:sz w:val="24"/>
          <w:szCs w:val="24"/>
        </w:rPr>
        <w:t>were in line with the hypothesis that the type of signal, UMTS</w:t>
      </w:r>
      <w:r>
        <w:rPr>
          <w:sz w:val="24"/>
          <w:szCs w:val="24"/>
        </w:rPr>
        <w:t xml:space="preserve"> </w:t>
      </w:r>
      <w:r w:rsidRPr="00D65F3C">
        <w:rPr>
          <w:sz w:val="24"/>
          <w:szCs w:val="24"/>
        </w:rPr>
        <w:t>MWs, may have higher biological efficiency and possibly</w:t>
      </w:r>
      <w:r w:rsidR="002B12A4">
        <w:rPr>
          <w:sz w:val="24"/>
          <w:szCs w:val="24"/>
        </w:rPr>
        <w:t xml:space="preserve"> </w:t>
      </w:r>
      <w:r w:rsidRPr="00D65F3C">
        <w:rPr>
          <w:sz w:val="24"/>
          <w:szCs w:val="24"/>
        </w:rPr>
        <w:t>larger health risk effects</w:t>
      </w:r>
      <w:r w:rsidR="002B12A4">
        <w:rPr>
          <w:sz w:val="24"/>
          <w:szCs w:val="24"/>
        </w:rPr>
        <w:t xml:space="preserve"> compared to GSM radiation emis</w:t>
      </w:r>
      <w:r w:rsidRPr="00D65F3C">
        <w:rPr>
          <w:sz w:val="24"/>
          <w:szCs w:val="24"/>
        </w:rPr>
        <w:t>sions. The effects of UMTS MWs and GSM-915 MHz MWs</w:t>
      </w:r>
      <w:r w:rsidR="002B12A4">
        <w:rPr>
          <w:sz w:val="24"/>
          <w:szCs w:val="24"/>
        </w:rPr>
        <w:t xml:space="preserve"> </w:t>
      </w:r>
      <w:r w:rsidRPr="00D65F3C">
        <w:rPr>
          <w:sz w:val="24"/>
          <w:szCs w:val="24"/>
        </w:rPr>
        <w:t>on the formation of the DNA repair foci, were statistically</w:t>
      </w:r>
      <w:r w:rsidR="002B12A4">
        <w:rPr>
          <w:sz w:val="24"/>
          <w:szCs w:val="24"/>
        </w:rPr>
        <w:t xml:space="preserve"> </w:t>
      </w:r>
      <w:r w:rsidRPr="00D65F3C">
        <w:rPr>
          <w:sz w:val="24"/>
          <w:szCs w:val="24"/>
        </w:rPr>
        <w:t>different for hypersensitive but not for control subjects [32].Chronic exposure to GSM and UMTS signals resulted</w:t>
      </w:r>
      <w:r w:rsidR="002B12A4">
        <w:rPr>
          <w:sz w:val="24"/>
          <w:szCs w:val="24"/>
        </w:rPr>
        <w:t xml:space="preserve"> </w:t>
      </w:r>
      <w:r w:rsidRPr="00D65F3C">
        <w:rPr>
          <w:sz w:val="24"/>
          <w:szCs w:val="24"/>
        </w:rPr>
        <w:t>in significant inhibition of DSB repair in human stem cells[34]. Statistical analysis revealed that UMTS exposure</w:t>
      </w:r>
      <w:r w:rsidR="002B12A4">
        <w:rPr>
          <w:sz w:val="24"/>
          <w:szCs w:val="24"/>
        </w:rPr>
        <w:t xml:space="preserve"> </w:t>
      </w:r>
      <w:r w:rsidRPr="00D65F3C">
        <w:rPr>
          <w:sz w:val="24"/>
          <w:szCs w:val="24"/>
        </w:rPr>
        <w:t>affected human stem cells more strongly than did the GSM</w:t>
      </w:r>
      <w:r w:rsidR="002B12A4">
        <w:rPr>
          <w:sz w:val="24"/>
          <w:szCs w:val="24"/>
        </w:rPr>
        <w:t xml:space="preserve"> </w:t>
      </w:r>
      <w:r w:rsidRPr="00D65F3C">
        <w:rPr>
          <w:sz w:val="24"/>
          <w:szCs w:val="24"/>
        </w:rPr>
        <w:t>exposure [34]. Inhibitory effects of MW exposure on DSB</w:t>
      </w:r>
      <w:r w:rsidR="002B12A4">
        <w:rPr>
          <w:rStyle w:val="FootnoteReference"/>
          <w:sz w:val="24"/>
          <w:szCs w:val="24"/>
        </w:rPr>
        <w:footnoteReference w:id="8"/>
      </w:r>
      <w:r w:rsidR="002B12A4">
        <w:rPr>
          <w:sz w:val="24"/>
          <w:szCs w:val="24"/>
        </w:rPr>
        <w:t xml:space="preserve"> </w:t>
      </w:r>
      <w:r w:rsidRPr="00D65F3C">
        <w:rPr>
          <w:sz w:val="24"/>
          <w:szCs w:val="24"/>
        </w:rPr>
        <w:t>repair in stem cells may result in formation of chromosomal</w:t>
      </w:r>
      <w:r w:rsidR="002B12A4">
        <w:rPr>
          <w:sz w:val="24"/>
          <w:szCs w:val="24"/>
        </w:rPr>
        <w:t xml:space="preserve"> </w:t>
      </w:r>
      <w:r w:rsidR="002B12A4" w:rsidRPr="002B12A4">
        <w:rPr>
          <w:sz w:val="24"/>
          <w:szCs w:val="24"/>
        </w:rPr>
        <w:t>aberrations and therefore</w:t>
      </w:r>
      <w:r w:rsidR="002B12A4">
        <w:rPr>
          <w:sz w:val="24"/>
          <w:szCs w:val="24"/>
        </w:rPr>
        <w:t xml:space="preserve"> origination of cancer. Alterna</w:t>
      </w:r>
      <w:r w:rsidR="002B12A4" w:rsidRPr="002B12A4">
        <w:rPr>
          <w:sz w:val="24"/>
          <w:szCs w:val="24"/>
        </w:rPr>
        <w:t>tively, MW exposures may induce a stress response. Both</w:t>
      </w:r>
      <w:r w:rsidR="002B12A4">
        <w:rPr>
          <w:sz w:val="24"/>
          <w:szCs w:val="24"/>
        </w:rPr>
        <w:t xml:space="preserve"> </w:t>
      </w:r>
      <w:r w:rsidR="002B12A4" w:rsidRPr="002B12A4">
        <w:rPr>
          <w:sz w:val="24"/>
          <w:szCs w:val="24"/>
        </w:rPr>
        <w:t>possible interpretations provided a mechanistic link to</w:t>
      </w:r>
      <w:r w:rsidR="002B12A4">
        <w:rPr>
          <w:sz w:val="24"/>
          <w:szCs w:val="24"/>
        </w:rPr>
        <w:t xml:space="preserve"> </w:t>
      </w:r>
      <w:r w:rsidR="002B12A4" w:rsidRPr="002B12A4">
        <w:rPr>
          <w:sz w:val="24"/>
          <w:szCs w:val="24"/>
        </w:rPr>
        <w:t>increased cancer risk because stem cells are considered as</w:t>
      </w:r>
      <w:r w:rsidR="002B12A4">
        <w:rPr>
          <w:sz w:val="24"/>
          <w:szCs w:val="24"/>
        </w:rPr>
        <w:t xml:space="preserve"> </w:t>
      </w:r>
      <w:r w:rsidR="002B12A4" w:rsidRPr="002B12A4">
        <w:rPr>
          <w:sz w:val="24"/>
          <w:szCs w:val="24"/>
        </w:rPr>
        <w:t xml:space="preserve">most relevant targets for origination of </w:t>
      </w:r>
      <w:proofErr w:type="spellStart"/>
      <w:r w:rsidR="002B12A4" w:rsidRPr="002B12A4">
        <w:rPr>
          <w:sz w:val="24"/>
          <w:szCs w:val="24"/>
        </w:rPr>
        <w:t>tumours</w:t>
      </w:r>
      <w:proofErr w:type="spellEnd"/>
      <w:r w:rsidR="002B12A4" w:rsidRPr="002B12A4">
        <w:rPr>
          <w:sz w:val="24"/>
          <w:szCs w:val="24"/>
        </w:rPr>
        <w:t xml:space="preserve"> of different</w:t>
      </w:r>
      <w:r w:rsidR="002B12A4">
        <w:rPr>
          <w:sz w:val="24"/>
          <w:szCs w:val="24"/>
        </w:rPr>
        <w:t xml:space="preserve"> </w:t>
      </w:r>
      <w:r w:rsidR="002B12A4" w:rsidRPr="002B12A4">
        <w:rPr>
          <w:sz w:val="24"/>
          <w:szCs w:val="24"/>
        </w:rPr>
        <w:t>types including glioma [34].</w:t>
      </w:r>
    </w:p>
    <w:p w:rsidR="002B12A4" w:rsidRDefault="002B12A4" w:rsidP="00D65F3C">
      <w:pPr>
        <w:ind w:left="1080"/>
        <w:rPr>
          <w:sz w:val="24"/>
          <w:szCs w:val="24"/>
        </w:rPr>
      </w:pPr>
    </w:p>
    <w:p w:rsidR="00E239EE" w:rsidRDefault="002B12A4" w:rsidP="005D7D5C">
      <w:pPr>
        <w:ind w:left="360"/>
        <w:rPr>
          <w:sz w:val="24"/>
          <w:szCs w:val="24"/>
        </w:rPr>
      </w:pPr>
      <w:r>
        <w:rPr>
          <w:sz w:val="24"/>
          <w:szCs w:val="24"/>
        </w:rPr>
        <w:t xml:space="preserve">There are two additional studies from the </w:t>
      </w:r>
      <w:hyperlink r:id="rId10" w:history="1">
        <w:r w:rsidRPr="00FA50DF">
          <w:rPr>
            <w:rStyle w:val="Hyperlink"/>
            <w:sz w:val="24"/>
            <w:szCs w:val="24"/>
          </w:rPr>
          <w:t>EU funded REFLEX study</w:t>
        </w:r>
      </w:hyperlink>
      <w:r>
        <w:rPr>
          <w:sz w:val="24"/>
          <w:szCs w:val="24"/>
        </w:rPr>
        <w:t xml:space="preserve"> of human fibroblast cells report</w:t>
      </w:r>
      <w:r w:rsidR="00FA50DF">
        <w:rPr>
          <w:sz w:val="24"/>
          <w:szCs w:val="24"/>
        </w:rPr>
        <w:t>ed</w:t>
      </w:r>
      <w:r>
        <w:rPr>
          <w:sz w:val="24"/>
          <w:szCs w:val="24"/>
        </w:rPr>
        <w:t xml:space="preserve"> greater risk f</w:t>
      </w:r>
      <w:r w:rsidR="00FA50DF">
        <w:rPr>
          <w:sz w:val="24"/>
          <w:szCs w:val="24"/>
        </w:rPr>
        <w:t>rom 3G UMTS modulated cellphone radiation</w:t>
      </w:r>
      <w:r>
        <w:rPr>
          <w:sz w:val="24"/>
          <w:szCs w:val="24"/>
        </w:rPr>
        <w:t xml:space="preserve"> compared to 2G, GSM modulated cellphone</w:t>
      </w:r>
      <w:r w:rsidR="00FA50DF">
        <w:rPr>
          <w:sz w:val="24"/>
          <w:szCs w:val="24"/>
        </w:rPr>
        <w:t xml:space="preserve"> radiation</w:t>
      </w:r>
      <w:r>
        <w:rPr>
          <w:sz w:val="24"/>
          <w:szCs w:val="24"/>
        </w:rPr>
        <w:t xml:space="preserve">.  </w:t>
      </w:r>
    </w:p>
    <w:p w:rsidR="00E239EE" w:rsidRDefault="00E239EE" w:rsidP="005D7D5C">
      <w:pPr>
        <w:ind w:left="360"/>
        <w:rPr>
          <w:sz w:val="24"/>
          <w:szCs w:val="24"/>
        </w:rPr>
      </w:pPr>
    </w:p>
    <w:p w:rsidR="00E239EE" w:rsidRDefault="00FA50DF" w:rsidP="005D7D5C">
      <w:pPr>
        <w:ind w:left="360"/>
        <w:rPr>
          <w:sz w:val="24"/>
          <w:szCs w:val="24"/>
        </w:rPr>
      </w:pPr>
      <w:r>
        <w:rPr>
          <w:sz w:val="24"/>
          <w:szCs w:val="24"/>
        </w:rPr>
        <w:t xml:space="preserve">The REFLEX study that </w:t>
      </w:r>
      <w:r w:rsidR="002B12A4">
        <w:rPr>
          <w:sz w:val="24"/>
          <w:szCs w:val="24"/>
        </w:rPr>
        <w:t>examined the SAR threshold for genotoxic</w:t>
      </w:r>
      <w:r w:rsidR="006B1E00">
        <w:rPr>
          <w:sz w:val="24"/>
          <w:szCs w:val="24"/>
        </w:rPr>
        <w:t xml:space="preserve"> </w:t>
      </w:r>
      <w:r w:rsidR="002B12A4">
        <w:rPr>
          <w:sz w:val="24"/>
          <w:szCs w:val="24"/>
        </w:rPr>
        <w:t xml:space="preserve">damage </w:t>
      </w:r>
      <w:r>
        <w:rPr>
          <w:sz w:val="24"/>
          <w:szCs w:val="24"/>
        </w:rPr>
        <w:t xml:space="preserve">(i.e., mutated DNA) </w:t>
      </w:r>
      <w:r w:rsidR="002B12A4">
        <w:rPr>
          <w:sz w:val="24"/>
          <w:szCs w:val="24"/>
        </w:rPr>
        <w:t xml:space="preserve">to human fibroblast cells </w:t>
      </w:r>
      <w:r w:rsidR="006B1E00">
        <w:rPr>
          <w:sz w:val="24"/>
          <w:szCs w:val="24"/>
        </w:rPr>
        <w:t xml:space="preserve">from exposure to 2G cellphone radiation reported the threshold SAR=0.30 W/kg </w:t>
      </w:r>
      <w:r w:rsidR="00E239EE">
        <w:rPr>
          <w:sz w:val="24"/>
          <w:szCs w:val="24"/>
        </w:rPr>
        <w:t>(</w:t>
      </w:r>
      <w:r w:rsidR="00E239EE" w:rsidRPr="00E239EE">
        <w:rPr>
          <w:sz w:val="24"/>
          <w:szCs w:val="24"/>
        </w:rPr>
        <w:t>Risk Evaluation of Potential Environmental Hazards From Low Frequency Electromagnetic Field Exposure Using Sensitive in vitro Methods, QLK4-CT-1999-01574 / REFLEX / Final Report,</w:t>
      </w:r>
      <w:r w:rsidR="00E239EE">
        <w:rPr>
          <w:sz w:val="24"/>
          <w:szCs w:val="24"/>
        </w:rPr>
        <w:t xml:space="preserve"> Section</w:t>
      </w:r>
      <w:r w:rsidR="00E239EE" w:rsidRPr="00E239EE">
        <w:t xml:space="preserve"> </w:t>
      </w:r>
      <w:r w:rsidR="00E239EE" w:rsidRPr="00E239EE">
        <w:rPr>
          <w:sz w:val="24"/>
          <w:szCs w:val="24"/>
        </w:rPr>
        <w:t xml:space="preserve">3.2.1.2 Human fibroblasts and </w:t>
      </w:r>
      <w:proofErr w:type="spellStart"/>
      <w:r w:rsidR="00E239EE" w:rsidRPr="00E239EE">
        <w:rPr>
          <w:sz w:val="24"/>
          <w:szCs w:val="24"/>
        </w:rPr>
        <w:t>granulosa</w:t>
      </w:r>
      <w:proofErr w:type="spellEnd"/>
      <w:r w:rsidR="00E239EE" w:rsidRPr="00E239EE">
        <w:rPr>
          <w:sz w:val="24"/>
          <w:szCs w:val="24"/>
        </w:rPr>
        <w:t xml:space="preserve"> cells of rats (Participant 3)</w:t>
      </w:r>
      <w:r w:rsidR="00E239EE">
        <w:rPr>
          <w:sz w:val="24"/>
          <w:szCs w:val="24"/>
        </w:rPr>
        <w:t xml:space="preserve">, </w:t>
      </w:r>
      <w:r w:rsidR="00E239EE" w:rsidRPr="00E239EE">
        <w:rPr>
          <w:sz w:val="24"/>
          <w:szCs w:val="24"/>
        </w:rPr>
        <w:t>Figure 94, page 128</w:t>
      </w:r>
      <w:r w:rsidR="00E239EE">
        <w:rPr>
          <w:sz w:val="24"/>
          <w:szCs w:val="24"/>
        </w:rPr>
        <w:t>).</w:t>
      </w:r>
    </w:p>
    <w:p w:rsidR="00E239EE" w:rsidRDefault="00E239EE" w:rsidP="005D7D5C">
      <w:pPr>
        <w:ind w:left="360"/>
        <w:rPr>
          <w:sz w:val="24"/>
          <w:szCs w:val="24"/>
        </w:rPr>
      </w:pPr>
    </w:p>
    <w:p w:rsidR="002B12A4" w:rsidRDefault="00E239EE" w:rsidP="00E239EE">
      <w:pPr>
        <w:ind w:left="360"/>
        <w:jc w:val="center"/>
        <w:rPr>
          <w:sz w:val="24"/>
          <w:szCs w:val="24"/>
        </w:rPr>
      </w:pPr>
      <w:r w:rsidRPr="00E239EE">
        <w:drawing>
          <wp:inline distT="0" distB="0" distL="0" distR="0" wp14:anchorId="3F3072E1" wp14:editId="40B3FD87">
            <wp:extent cx="4714875" cy="300623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717820" cy="3008115"/>
                    </a:xfrm>
                    <a:prstGeom prst="rect">
                      <a:avLst/>
                    </a:prstGeom>
                  </pic:spPr>
                </pic:pic>
              </a:graphicData>
            </a:graphic>
          </wp:inline>
        </w:drawing>
      </w:r>
    </w:p>
    <w:p w:rsidR="00E239EE" w:rsidRDefault="00E239EE" w:rsidP="00E239EE">
      <w:pPr>
        <w:ind w:left="360"/>
        <w:jc w:val="center"/>
        <w:rPr>
          <w:sz w:val="24"/>
          <w:szCs w:val="24"/>
        </w:rPr>
      </w:pPr>
      <w:proofErr w:type="gramStart"/>
      <w:r w:rsidRPr="00E239EE">
        <w:rPr>
          <w:sz w:val="24"/>
          <w:szCs w:val="24"/>
        </w:rPr>
        <w:t>Figure 94.</w:t>
      </w:r>
      <w:proofErr w:type="gramEnd"/>
      <w:r w:rsidRPr="00E239EE">
        <w:rPr>
          <w:sz w:val="24"/>
          <w:szCs w:val="24"/>
        </w:rPr>
        <w:t xml:space="preserve"> Dose dependent increase of DNA single and double strand breaks in human fibroblasts determined with the Comet assay under alkaline conditions</w:t>
      </w:r>
    </w:p>
    <w:p w:rsidR="00E239EE" w:rsidRDefault="00E239EE" w:rsidP="00E239EE">
      <w:pPr>
        <w:ind w:left="360"/>
        <w:jc w:val="center"/>
        <w:rPr>
          <w:sz w:val="24"/>
          <w:szCs w:val="24"/>
        </w:rPr>
      </w:pPr>
    </w:p>
    <w:p w:rsidR="00E239EE" w:rsidRDefault="00E239EE" w:rsidP="00CF09F3">
      <w:pPr>
        <w:ind w:left="360"/>
        <w:rPr>
          <w:sz w:val="24"/>
          <w:szCs w:val="24"/>
        </w:rPr>
      </w:pPr>
      <w:r>
        <w:rPr>
          <w:sz w:val="24"/>
          <w:szCs w:val="24"/>
        </w:rPr>
        <w:t xml:space="preserve">The REFLEX study that examined the SAR threshold for genotoxic (i.e., mutated DNA) damage to human fibroblast cells from exposure to </w:t>
      </w:r>
      <w:r>
        <w:rPr>
          <w:sz w:val="24"/>
          <w:szCs w:val="24"/>
        </w:rPr>
        <w:t>3</w:t>
      </w:r>
      <w:r>
        <w:rPr>
          <w:sz w:val="24"/>
          <w:szCs w:val="24"/>
        </w:rPr>
        <w:t>G cellphone radiation reported the threshold SAR=0.</w:t>
      </w:r>
      <w:r>
        <w:rPr>
          <w:sz w:val="24"/>
          <w:szCs w:val="24"/>
        </w:rPr>
        <w:t>05</w:t>
      </w:r>
      <w:r>
        <w:rPr>
          <w:sz w:val="24"/>
          <w:szCs w:val="24"/>
        </w:rPr>
        <w:t xml:space="preserve"> W/kg</w:t>
      </w:r>
      <w:r>
        <w:rPr>
          <w:sz w:val="24"/>
          <w:szCs w:val="24"/>
        </w:rPr>
        <w:t xml:space="preserve"> was </w:t>
      </w:r>
      <w:r w:rsidR="00CF09F3" w:rsidRPr="00CF09F3">
        <w:rPr>
          <w:sz w:val="24"/>
          <w:szCs w:val="24"/>
        </w:rPr>
        <w:t>Claudia Schwarz</w:t>
      </w:r>
      <w:r w:rsidR="00CF09F3">
        <w:rPr>
          <w:sz w:val="24"/>
          <w:szCs w:val="24"/>
        </w:rPr>
        <w:t xml:space="preserve">, </w:t>
      </w:r>
      <w:r w:rsidR="00CF09F3" w:rsidRPr="00CF09F3">
        <w:rPr>
          <w:sz w:val="24"/>
          <w:szCs w:val="24"/>
        </w:rPr>
        <w:t xml:space="preserve">Elisabeth </w:t>
      </w:r>
      <w:proofErr w:type="spellStart"/>
      <w:r w:rsidR="00CF09F3" w:rsidRPr="00CF09F3">
        <w:rPr>
          <w:sz w:val="24"/>
          <w:szCs w:val="24"/>
        </w:rPr>
        <w:t>Kratochvil</w:t>
      </w:r>
      <w:proofErr w:type="spellEnd"/>
      <w:r w:rsidR="00CF09F3">
        <w:rPr>
          <w:sz w:val="24"/>
          <w:szCs w:val="24"/>
        </w:rPr>
        <w:t xml:space="preserve">, </w:t>
      </w:r>
      <w:r w:rsidR="00CF09F3" w:rsidRPr="00CF09F3">
        <w:rPr>
          <w:sz w:val="24"/>
          <w:szCs w:val="24"/>
        </w:rPr>
        <w:t xml:space="preserve">Alexander </w:t>
      </w:r>
      <w:proofErr w:type="spellStart"/>
      <w:r w:rsidR="00CF09F3" w:rsidRPr="00CF09F3">
        <w:rPr>
          <w:sz w:val="24"/>
          <w:szCs w:val="24"/>
        </w:rPr>
        <w:t>Pilger</w:t>
      </w:r>
      <w:proofErr w:type="spellEnd"/>
      <w:r w:rsidR="00CF09F3">
        <w:rPr>
          <w:sz w:val="24"/>
          <w:szCs w:val="24"/>
        </w:rPr>
        <w:t xml:space="preserve">, </w:t>
      </w:r>
      <w:r w:rsidR="00CF09F3" w:rsidRPr="00CF09F3">
        <w:rPr>
          <w:sz w:val="24"/>
          <w:szCs w:val="24"/>
        </w:rPr>
        <w:t xml:space="preserve"> Niels Kuster</w:t>
      </w:r>
      <w:r w:rsidR="00CF09F3">
        <w:rPr>
          <w:sz w:val="24"/>
          <w:szCs w:val="24"/>
        </w:rPr>
        <w:t xml:space="preserve">, </w:t>
      </w:r>
      <w:r w:rsidR="00CF09F3" w:rsidRPr="00CF09F3">
        <w:rPr>
          <w:sz w:val="24"/>
          <w:szCs w:val="24"/>
        </w:rPr>
        <w:t>Franz Adlkofer</w:t>
      </w:r>
      <w:r w:rsidR="00CF09F3">
        <w:rPr>
          <w:sz w:val="24"/>
          <w:szCs w:val="24"/>
        </w:rPr>
        <w:t xml:space="preserve">, </w:t>
      </w:r>
      <w:r w:rsidR="00CF09F3" w:rsidRPr="00CF09F3">
        <w:rPr>
          <w:sz w:val="24"/>
          <w:szCs w:val="24"/>
        </w:rPr>
        <w:t xml:space="preserve">Hugo W. </w:t>
      </w:r>
      <w:proofErr w:type="spellStart"/>
      <w:r w:rsidR="00CF09F3" w:rsidRPr="00CF09F3">
        <w:rPr>
          <w:sz w:val="24"/>
          <w:szCs w:val="24"/>
        </w:rPr>
        <w:t>R</w:t>
      </w:r>
      <w:r w:rsidR="00CF09F3">
        <w:rPr>
          <w:sz w:val="24"/>
          <w:szCs w:val="24"/>
        </w:rPr>
        <w:t>ü</w:t>
      </w:r>
      <w:r w:rsidR="00CF09F3" w:rsidRPr="00CF09F3">
        <w:rPr>
          <w:sz w:val="24"/>
          <w:szCs w:val="24"/>
        </w:rPr>
        <w:t>diger</w:t>
      </w:r>
      <w:proofErr w:type="spellEnd"/>
      <w:r w:rsidRPr="00E239EE">
        <w:rPr>
          <w:sz w:val="24"/>
          <w:szCs w:val="24"/>
        </w:rPr>
        <w:t xml:space="preserve">. Radiofrequency electromagnetic fields (UMTS, 1,950 MHz) induce genotoxic effects in vitro in human fibroblasts but not in lymphocytes.  </w:t>
      </w:r>
      <w:proofErr w:type="spellStart"/>
      <w:r w:rsidRPr="00E239EE">
        <w:rPr>
          <w:sz w:val="24"/>
          <w:szCs w:val="24"/>
        </w:rPr>
        <w:t>Int</w:t>
      </w:r>
      <w:proofErr w:type="spellEnd"/>
      <w:r w:rsidRPr="00E239EE">
        <w:rPr>
          <w:sz w:val="24"/>
          <w:szCs w:val="24"/>
        </w:rPr>
        <w:t xml:space="preserve"> Arch </w:t>
      </w:r>
      <w:proofErr w:type="spellStart"/>
      <w:r w:rsidRPr="00E239EE">
        <w:rPr>
          <w:sz w:val="24"/>
          <w:szCs w:val="24"/>
        </w:rPr>
        <w:t>Occup</w:t>
      </w:r>
      <w:proofErr w:type="spellEnd"/>
      <w:r w:rsidRPr="00E239EE">
        <w:rPr>
          <w:sz w:val="24"/>
          <w:szCs w:val="24"/>
        </w:rPr>
        <w:t xml:space="preserve"> Environ Health (2008) 81:755–767</w:t>
      </w:r>
      <w:r w:rsidR="00CF09F3">
        <w:rPr>
          <w:sz w:val="24"/>
          <w:szCs w:val="24"/>
        </w:rPr>
        <w:t>.</w:t>
      </w:r>
    </w:p>
    <w:p w:rsidR="00CF09F3" w:rsidRDefault="00CF09F3" w:rsidP="00CF09F3">
      <w:pPr>
        <w:ind w:left="360"/>
        <w:rPr>
          <w:sz w:val="24"/>
          <w:szCs w:val="24"/>
        </w:rPr>
      </w:pPr>
    </w:p>
    <w:p w:rsidR="00CF09F3" w:rsidRDefault="00CF09F3" w:rsidP="00CF09F3">
      <w:pPr>
        <w:ind w:left="360"/>
        <w:jc w:val="center"/>
        <w:rPr>
          <w:sz w:val="24"/>
          <w:szCs w:val="24"/>
        </w:rPr>
      </w:pPr>
      <w:r w:rsidRPr="00CF09F3">
        <w:drawing>
          <wp:inline distT="0" distB="0" distL="0" distR="0" wp14:anchorId="73626713" wp14:editId="21192ED4">
            <wp:extent cx="5943600" cy="4422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4422140"/>
                    </a:xfrm>
                    <a:prstGeom prst="rect">
                      <a:avLst/>
                    </a:prstGeom>
                  </pic:spPr>
                </pic:pic>
              </a:graphicData>
            </a:graphic>
          </wp:inline>
        </w:drawing>
      </w:r>
    </w:p>
    <w:p w:rsidR="00CF09F3" w:rsidRPr="00CF09F3" w:rsidRDefault="00CF09F3" w:rsidP="00CF09F3">
      <w:pPr>
        <w:ind w:left="360"/>
        <w:rPr>
          <w:sz w:val="24"/>
          <w:szCs w:val="24"/>
        </w:rPr>
      </w:pPr>
      <w:r>
        <w:rPr>
          <w:sz w:val="24"/>
          <w:szCs w:val="24"/>
        </w:rPr>
        <w:t xml:space="preserve">Fig. 1 Specific absorption rate dependent increase of the comet assay tail factor after 24 h exposure. Figures and bars represent mean and standard deviation of three independent exposures/SAR level, using </w:t>
      </w:r>
      <w:r w:rsidRPr="00CF09F3">
        <w:rPr>
          <w:sz w:val="24"/>
          <w:szCs w:val="24"/>
        </w:rPr>
        <w:t>fibroblasts of</w:t>
      </w:r>
      <w:r>
        <w:rPr>
          <w:sz w:val="24"/>
          <w:szCs w:val="24"/>
        </w:rPr>
        <w:t xml:space="preserve"> donor ES-1.  </w:t>
      </w:r>
      <w:r w:rsidRPr="00CF09F3">
        <w:rPr>
          <w:sz w:val="24"/>
          <w:szCs w:val="24"/>
        </w:rPr>
        <w:t>Negative, positive, and sham</w:t>
      </w:r>
      <w:r>
        <w:rPr>
          <w:sz w:val="24"/>
          <w:szCs w:val="24"/>
        </w:rPr>
        <w:t xml:space="preserve"> exposed controls were performed for each exposure.  The CTF increase was </w:t>
      </w:r>
      <w:r w:rsidRPr="00CF09F3">
        <w:rPr>
          <w:sz w:val="24"/>
          <w:szCs w:val="24"/>
        </w:rPr>
        <w:t>statistically significant</w:t>
      </w:r>
    </w:p>
    <w:p w:rsidR="00CF09F3" w:rsidRDefault="00CF09F3" w:rsidP="00CF09F3">
      <w:pPr>
        <w:ind w:left="360"/>
        <w:rPr>
          <w:sz w:val="24"/>
          <w:szCs w:val="24"/>
        </w:rPr>
      </w:pPr>
      <w:r>
        <w:rPr>
          <w:sz w:val="24"/>
          <w:szCs w:val="24"/>
        </w:rPr>
        <w:t xml:space="preserve">(P = 0.02) for all SAR levels, calculated for each individual SAR using three EMF exposed </w:t>
      </w:r>
      <w:r w:rsidRPr="00CF09F3">
        <w:rPr>
          <w:sz w:val="24"/>
          <w:szCs w:val="24"/>
        </w:rPr>
        <w:t xml:space="preserve">versus the combined values </w:t>
      </w:r>
      <w:r>
        <w:rPr>
          <w:sz w:val="24"/>
          <w:szCs w:val="24"/>
        </w:rPr>
        <w:t xml:space="preserve">of three sham-exposed plus three </w:t>
      </w:r>
      <w:r w:rsidRPr="00CF09F3">
        <w:rPr>
          <w:sz w:val="24"/>
          <w:szCs w:val="24"/>
        </w:rPr>
        <w:t>negative controls</w:t>
      </w:r>
      <w:r>
        <w:rPr>
          <w:sz w:val="24"/>
          <w:szCs w:val="24"/>
        </w:rPr>
        <w:t>.</w:t>
      </w:r>
    </w:p>
    <w:p w:rsidR="00CF09F3" w:rsidRDefault="00CF09F3" w:rsidP="00CF09F3">
      <w:pPr>
        <w:ind w:left="360"/>
        <w:rPr>
          <w:sz w:val="24"/>
          <w:szCs w:val="24"/>
        </w:rPr>
      </w:pPr>
    </w:p>
    <w:p w:rsidR="006404FC" w:rsidRDefault="00CF09F3" w:rsidP="00CF09F3">
      <w:pPr>
        <w:ind w:left="360"/>
        <w:rPr>
          <w:sz w:val="24"/>
          <w:szCs w:val="24"/>
        </w:rPr>
      </w:pPr>
      <w:r w:rsidRPr="00CF09F3">
        <w:rPr>
          <w:sz w:val="24"/>
          <w:szCs w:val="24"/>
        </w:rPr>
        <w:t xml:space="preserve">In other words, the threshold for damaged DNA in human fibroblast cells </w:t>
      </w:r>
      <w:r w:rsidR="00FA50DF">
        <w:rPr>
          <w:sz w:val="24"/>
          <w:szCs w:val="24"/>
        </w:rPr>
        <w:t>was</w:t>
      </w:r>
      <w:r w:rsidRPr="00CF09F3">
        <w:rPr>
          <w:sz w:val="24"/>
          <w:szCs w:val="24"/>
        </w:rPr>
        <w:t xml:space="preserve"> 6 times lower from G3</w:t>
      </w:r>
      <w:r w:rsidR="006404FC">
        <w:rPr>
          <w:sz w:val="24"/>
          <w:szCs w:val="24"/>
        </w:rPr>
        <w:t xml:space="preserve"> UMTS</w:t>
      </w:r>
      <w:r w:rsidRPr="00CF09F3">
        <w:rPr>
          <w:sz w:val="24"/>
          <w:szCs w:val="24"/>
        </w:rPr>
        <w:t xml:space="preserve"> modulation compared to G2 </w:t>
      </w:r>
      <w:r w:rsidR="006404FC">
        <w:rPr>
          <w:sz w:val="24"/>
          <w:szCs w:val="24"/>
        </w:rPr>
        <w:t xml:space="preserve">GSM </w:t>
      </w:r>
      <w:r w:rsidRPr="00CF09F3">
        <w:rPr>
          <w:sz w:val="24"/>
          <w:szCs w:val="24"/>
        </w:rPr>
        <w:t>modulation.</w:t>
      </w:r>
      <w:r w:rsidR="006404FC">
        <w:rPr>
          <w:sz w:val="24"/>
          <w:szCs w:val="24"/>
        </w:rPr>
        <w:t xml:space="preserve">  </w:t>
      </w:r>
    </w:p>
    <w:p w:rsidR="006404FC" w:rsidRDefault="006404FC" w:rsidP="00CF09F3">
      <w:pPr>
        <w:ind w:left="360"/>
        <w:rPr>
          <w:sz w:val="24"/>
          <w:szCs w:val="24"/>
        </w:rPr>
      </w:pPr>
    </w:p>
    <w:p w:rsidR="00CF09F3" w:rsidRDefault="006404FC" w:rsidP="00CF09F3">
      <w:pPr>
        <w:ind w:left="360"/>
        <w:rPr>
          <w:sz w:val="24"/>
          <w:szCs w:val="24"/>
        </w:rPr>
      </w:pPr>
      <w:r>
        <w:rPr>
          <w:sz w:val="24"/>
          <w:szCs w:val="24"/>
        </w:rPr>
        <w:t xml:space="preserve">In summary there are at least 4 peer reviewed science papers that report stronger adverse effects from G3 UMTS cellphone radiation compared to G2 GSM cellphone radiation, and this latest Hardell &amp; Carlberg study reporting the highest risk from G3 UMTS modulated </w:t>
      </w:r>
      <w:r>
        <w:rPr>
          <w:sz w:val="24"/>
          <w:szCs w:val="24"/>
        </w:rPr>
        <w:lastRenderedPageBreak/>
        <w:t>cellphone radiation compared to any other type wireless phone with average radiated power between 1,000 and 900,000 time lower than the wireless phone</w:t>
      </w:r>
      <w:r w:rsidR="00FA50DF">
        <w:rPr>
          <w:sz w:val="24"/>
          <w:szCs w:val="24"/>
        </w:rPr>
        <w:t xml:space="preserve"> type with the </w:t>
      </w:r>
      <w:r>
        <w:rPr>
          <w:sz w:val="24"/>
          <w:szCs w:val="24"/>
        </w:rPr>
        <w:t>closest, but lower, risk factor.</w:t>
      </w:r>
    </w:p>
    <w:p w:rsidR="006404FC" w:rsidRDefault="006404FC" w:rsidP="00CF09F3">
      <w:pPr>
        <w:ind w:left="360"/>
        <w:rPr>
          <w:b/>
          <w:sz w:val="24"/>
          <w:szCs w:val="24"/>
        </w:rPr>
      </w:pPr>
    </w:p>
    <w:p w:rsidR="0066750C" w:rsidRDefault="0066750C" w:rsidP="00CF09F3">
      <w:pPr>
        <w:ind w:left="360"/>
        <w:rPr>
          <w:b/>
          <w:sz w:val="24"/>
          <w:szCs w:val="24"/>
        </w:rPr>
      </w:pPr>
      <w:r>
        <w:rPr>
          <w:b/>
          <w:sz w:val="24"/>
          <w:szCs w:val="24"/>
        </w:rPr>
        <w:t>Cancer Promotion and Initiation</w:t>
      </w:r>
    </w:p>
    <w:p w:rsidR="0066750C" w:rsidRDefault="007F1E3B" w:rsidP="00CF09F3">
      <w:pPr>
        <w:ind w:left="360"/>
        <w:rPr>
          <w:sz w:val="24"/>
          <w:szCs w:val="24"/>
        </w:rPr>
      </w:pPr>
      <w:r>
        <w:rPr>
          <w:sz w:val="24"/>
          <w:szCs w:val="24"/>
        </w:rPr>
        <w:t>The authors write “</w:t>
      </w:r>
      <w:r w:rsidRPr="007F1E3B">
        <w:rPr>
          <w:sz w:val="24"/>
          <w:szCs w:val="24"/>
        </w:rPr>
        <w:t>For ipsilateral mobile phone use and</w:t>
      </w:r>
      <w:r>
        <w:rPr>
          <w:sz w:val="24"/>
          <w:szCs w:val="24"/>
        </w:rPr>
        <w:t xml:space="preserve"> </w:t>
      </w:r>
      <w:r w:rsidRPr="007F1E3B">
        <w:rPr>
          <w:sz w:val="24"/>
          <w:szCs w:val="24"/>
        </w:rPr>
        <w:t>latency, the curve was slightly different compared with total</w:t>
      </w:r>
      <w:r>
        <w:rPr>
          <w:sz w:val="24"/>
          <w:szCs w:val="24"/>
        </w:rPr>
        <w:t xml:space="preserve"> </w:t>
      </w:r>
      <w:r w:rsidRPr="007F1E3B">
        <w:rPr>
          <w:sz w:val="24"/>
          <w:szCs w:val="24"/>
        </w:rPr>
        <w:t>wireless phone use, with an increased risk for short latency</w:t>
      </w:r>
      <w:r>
        <w:rPr>
          <w:sz w:val="24"/>
          <w:szCs w:val="24"/>
        </w:rPr>
        <w:t xml:space="preserve"> </w:t>
      </w:r>
      <w:r w:rsidRPr="007F1E3B">
        <w:rPr>
          <w:sz w:val="24"/>
          <w:szCs w:val="24"/>
        </w:rPr>
        <w:t>(&lt;10 years), which dropped off slightly before increasing</w:t>
      </w:r>
      <w:r>
        <w:rPr>
          <w:sz w:val="24"/>
          <w:szCs w:val="24"/>
        </w:rPr>
        <w:t xml:space="preserve"> </w:t>
      </w:r>
      <w:r w:rsidRPr="007F1E3B">
        <w:rPr>
          <w:sz w:val="24"/>
          <w:szCs w:val="24"/>
        </w:rPr>
        <w:t>again with longer latency &gt;20 years (non-linearity P = 0.01).</w:t>
      </w:r>
      <w:r>
        <w:rPr>
          <w:sz w:val="24"/>
          <w:szCs w:val="24"/>
        </w:rPr>
        <w:t xml:space="preserve">  </w:t>
      </w:r>
      <w:r w:rsidRPr="007F1E3B">
        <w:rPr>
          <w:sz w:val="24"/>
          <w:szCs w:val="24"/>
        </w:rPr>
        <w:t>This finding differs from contralateral mobile phone use,</w:t>
      </w:r>
      <w:r>
        <w:rPr>
          <w:sz w:val="24"/>
          <w:szCs w:val="24"/>
        </w:rPr>
        <w:t xml:space="preserve"> </w:t>
      </w:r>
      <w:r w:rsidRPr="007F1E3B">
        <w:rPr>
          <w:sz w:val="24"/>
          <w:szCs w:val="24"/>
        </w:rPr>
        <w:t>compare Figs. 3 and 4. It should be noted that contralateral</w:t>
      </w:r>
      <w:r>
        <w:rPr>
          <w:sz w:val="24"/>
          <w:szCs w:val="24"/>
        </w:rPr>
        <w:t xml:space="preserve"> </w:t>
      </w:r>
      <w:r w:rsidRPr="007F1E3B">
        <w:rPr>
          <w:sz w:val="24"/>
          <w:szCs w:val="24"/>
        </w:rPr>
        <w:t>use was defined as less than 50% of the time. Similar results</w:t>
      </w:r>
      <w:r>
        <w:rPr>
          <w:sz w:val="24"/>
          <w:szCs w:val="24"/>
        </w:rPr>
        <w:t xml:space="preserve"> </w:t>
      </w:r>
      <w:r w:rsidRPr="007F1E3B">
        <w:rPr>
          <w:sz w:val="24"/>
          <w:szCs w:val="24"/>
        </w:rPr>
        <w:t>were found for cordless phone use. These results indicate an</w:t>
      </w:r>
      <w:r>
        <w:rPr>
          <w:sz w:val="24"/>
          <w:szCs w:val="24"/>
        </w:rPr>
        <w:t xml:space="preserve"> </w:t>
      </w:r>
      <w:r w:rsidRPr="007F1E3B">
        <w:rPr>
          <w:sz w:val="24"/>
          <w:szCs w:val="24"/>
        </w:rPr>
        <w:t xml:space="preserve">early effect in brain </w:t>
      </w:r>
      <w:proofErr w:type="spellStart"/>
      <w:r w:rsidRPr="007F1E3B">
        <w:rPr>
          <w:sz w:val="24"/>
          <w:szCs w:val="24"/>
        </w:rPr>
        <w:t>tumourigenicity</w:t>
      </w:r>
      <w:proofErr w:type="spellEnd"/>
      <w:r w:rsidRPr="007F1E3B">
        <w:rPr>
          <w:sz w:val="24"/>
          <w:szCs w:val="24"/>
        </w:rPr>
        <w:t xml:space="preserve"> (initiation) and a late</w:t>
      </w:r>
      <w:r>
        <w:rPr>
          <w:sz w:val="24"/>
          <w:szCs w:val="24"/>
        </w:rPr>
        <w:t xml:space="preserve"> </w:t>
      </w:r>
      <w:r w:rsidRPr="007F1E3B">
        <w:rPr>
          <w:sz w:val="24"/>
          <w:szCs w:val="24"/>
        </w:rPr>
        <w:t>effect (promotion), as discussed elsewhere [24].</w:t>
      </w:r>
      <w:r>
        <w:rPr>
          <w:sz w:val="24"/>
          <w:szCs w:val="24"/>
        </w:rPr>
        <w:t>”</w:t>
      </w:r>
    </w:p>
    <w:p w:rsidR="00281F2A" w:rsidRDefault="00281F2A" w:rsidP="00CF09F3">
      <w:pPr>
        <w:ind w:left="360"/>
        <w:rPr>
          <w:sz w:val="24"/>
          <w:szCs w:val="24"/>
        </w:rPr>
      </w:pPr>
    </w:p>
    <w:p w:rsidR="00F70441" w:rsidRDefault="00281F2A" w:rsidP="00F70441">
      <w:pPr>
        <w:ind w:left="360"/>
        <w:rPr>
          <w:sz w:val="24"/>
          <w:szCs w:val="24"/>
        </w:rPr>
      </w:pPr>
      <w:r>
        <w:rPr>
          <w:sz w:val="24"/>
          <w:szCs w:val="24"/>
        </w:rPr>
        <w:t xml:space="preserve">This becomes clear when we closely examine Figures 3 and 4.  Figure 3 is for ipsilateral exposure (higher risk) and Figure 4 is for contralateral risk (lower risk).  We see in Figure 3 the Odds Ratio (OR—the risk factor) increase to about OR=2.4, peaking around 5 years.  It then decrease to an Odd Ratio of about OR=1.5 around 11 years since first use.  This is a classic indication of a cancer promotion effect.  A pre-existing tumor is promoted to grow </w:t>
      </w:r>
      <w:r w:rsidR="00F70441">
        <w:rPr>
          <w:sz w:val="24"/>
          <w:szCs w:val="24"/>
        </w:rPr>
        <w:t>faster such that it is diagnosed sooner than it would have been if its growth rate had not</w:t>
      </w:r>
    </w:p>
    <w:p w:rsidR="007F1E3B" w:rsidRDefault="007F1E3B" w:rsidP="00F70441">
      <w:pPr>
        <w:rPr>
          <w:sz w:val="24"/>
          <w:szCs w:val="24"/>
        </w:rPr>
      </w:pPr>
    </w:p>
    <w:p w:rsidR="007F1E3B" w:rsidRDefault="007F1E3B" w:rsidP="007F1E3B">
      <w:pPr>
        <w:ind w:left="360"/>
        <w:jc w:val="center"/>
        <w:rPr>
          <w:sz w:val="24"/>
          <w:szCs w:val="24"/>
        </w:rPr>
      </w:pPr>
      <w:r w:rsidRPr="007F1E3B">
        <w:drawing>
          <wp:inline distT="0" distB="0" distL="0" distR="0" wp14:anchorId="21EDA976" wp14:editId="358AE504">
            <wp:extent cx="4486275" cy="3200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86275" cy="3200400"/>
                    </a:xfrm>
                    <a:prstGeom prst="rect">
                      <a:avLst/>
                    </a:prstGeom>
                  </pic:spPr>
                </pic:pic>
              </a:graphicData>
            </a:graphic>
          </wp:inline>
        </w:drawing>
      </w:r>
    </w:p>
    <w:p w:rsidR="007F1E3B" w:rsidRDefault="007F1E3B" w:rsidP="007F1E3B">
      <w:pPr>
        <w:ind w:left="360"/>
        <w:rPr>
          <w:sz w:val="24"/>
          <w:szCs w:val="24"/>
        </w:rPr>
      </w:pPr>
      <w:proofErr w:type="gramStart"/>
      <w:r w:rsidRPr="007F1E3B">
        <w:rPr>
          <w:sz w:val="24"/>
          <w:szCs w:val="24"/>
        </w:rPr>
        <w:t>Fig. 3.</w:t>
      </w:r>
      <w:proofErr w:type="gramEnd"/>
      <w:r w:rsidRPr="007F1E3B">
        <w:rPr>
          <w:sz w:val="24"/>
          <w:szCs w:val="24"/>
        </w:rPr>
        <w:t xml:space="preserve"> </w:t>
      </w:r>
      <w:proofErr w:type="gramStart"/>
      <w:r w:rsidRPr="007F1E3B">
        <w:rPr>
          <w:sz w:val="24"/>
          <w:szCs w:val="24"/>
        </w:rPr>
        <w:t>Restricted cubic spline plot of the relationship between latency of</w:t>
      </w:r>
      <w:r>
        <w:rPr>
          <w:sz w:val="24"/>
          <w:szCs w:val="24"/>
        </w:rPr>
        <w:t xml:space="preserve"> ipsilateral mobile </w:t>
      </w:r>
      <w:r w:rsidRPr="007F1E3B">
        <w:rPr>
          <w:sz w:val="24"/>
          <w:szCs w:val="24"/>
        </w:rPr>
        <w:t>phone use and glioma.</w:t>
      </w:r>
      <w:proofErr w:type="gramEnd"/>
      <w:r w:rsidRPr="007F1E3B">
        <w:rPr>
          <w:sz w:val="24"/>
          <w:szCs w:val="24"/>
        </w:rPr>
        <w:t xml:space="preserve"> The solid line indicates the OR</w:t>
      </w:r>
      <w:r>
        <w:rPr>
          <w:sz w:val="24"/>
          <w:szCs w:val="24"/>
        </w:rPr>
        <w:t xml:space="preserve"> </w:t>
      </w:r>
      <w:r w:rsidRPr="007F1E3B">
        <w:rPr>
          <w:sz w:val="24"/>
          <w:szCs w:val="24"/>
        </w:rPr>
        <w:t>estimate and the broken lines represent the 95% CI. Adjustment was made</w:t>
      </w:r>
      <w:r>
        <w:rPr>
          <w:sz w:val="24"/>
          <w:szCs w:val="24"/>
        </w:rPr>
        <w:t xml:space="preserve"> </w:t>
      </w:r>
      <w:r w:rsidRPr="007F1E3B">
        <w:rPr>
          <w:sz w:val="24"/>
          <w:szCs w:val="24"/>
        </w:rPr>
        <w:t>for age at diagnosis, gender, SEI-code</w:t>
      </w:r>
      <w:r w:rsidR="00281F2A">
        <w:rPr>
          <w:rStyle w:val="FootnoteReference"/>
          <w:sz w:val="24"/>
          <w:szCs w:val="24"/>
        </w:rPr>
        <w:footnoteReference w:id="9"/>
      </w:r>
      <w:r w:rsidRPr="007F1E3B">
        <w:rPr>
          <w:sz w:val="24"/>
          <w:szCs w:val="24"/>
        </w:rPr>
        <w:t>, and year for diagnosis. Population</w:t>
      </w:r>
      <w:r>
        <w:rPr>
          <w:sz w:val="24"/>
          <w:szCs w:val="24"/>
        </w:rPr>
        <w:t xml:space="preserve"> </w:t>
      </w:r>
      <w:r w:rsidRPr="007F1E3B">
        <w:rPr>
          <w:sz w:val="24"/>
          <w:szCs w:val="24"/>
        </w:rPr>
        <w:t>based controls were used.</w:t>
      </w:r>
    </w:p>
    <w:p w:rsidR="007F1E3B" w:rsidRDefault="007F1E3B" w:rsidP="007F1E3B">
      <w:pPr>
        <w:ind w:left="360"/>
        <w:rPr>
          <w:sz w:val="24"/>
          <w:szCs w:val="24"/>
        </w:rPr>
      </w:pPr>
    </w:p>
    <w:p w:rsidR="00F70441" w:rsidRDefault="00F70441" w:rsidP="00F70441">
      <w:pPr>
        <w:ind w:left="360"/>
        <w:rPr>
          <w:sz w:val="24"/>
          <w:szCs w:val="24"/>
        </w:rPr>
      </w:pPr>
      <w:proofErr w:type="gramStart"/>
      <w:r>
        <w:rPr>
          <w:sz w:val="24"/>
          <w:szCs w:val="24"/>
        </w:rPr>
        <w:lastRenderedPageBreak/>
        <w:t>increase</w:t>
      </w:r>
      <w:proofErr w:type="gramEnd"/>
      <w:r>
        <w:rPr>
          <w:sz w:val="24"/>
          <w:szCs w:val="24"/>
        </w:rPr>
        <w:t>.  The risk falls afterwards until cancers initiated begin to be diagnosed.  As we can see from around 11 years onward, the risk increases exponentially.</w:t>
      </w:r>
    </w:p>
    <w:p w:rsidR="00F70441" w:rsidRDefault="00F70441" w:rsidP="00F70441">
      <w:pPr>
        <w:ind w:left="360"/>
        <w:rPr>
          <w:sz w:val="24"/>
          <w:szCs w:val="24"/>
        </w:rPr>
      </w:pPr>
    </w:p>
    <w:p w:rsidR="00F70441" w:rsidRDefault="00F70441" w:rsidP="00F70441">
      <w:pPr>
        <w:ind w:left="360"/>
        <w:rPr>
          <w:sz w:val="24"/>
          <w:szCs w:val="24"/>
        </w:rPr>
      </w:pPr>
      <w:r>
        <w:rPr>
          <w:sz w:val="24"/>
          <w:szCs w:val="24"/>
        </w:rPr>
        <w:t>By comparison Figure 4, with its lower risk barely shows a decrease risk</w:t>
      </w:r>
    </w:p>
    <w:p w:rsidR="007F1E3B" w:rsidRDefault="007F1E3B" w:rsidP="007F1E3B">
      <w:pPr>
        <w:ind w:left="360"/>
        <w:jc w:val="center"/>
        <w:rPr>
          <w:sz w:val="24"/>
          <w:szCs w:val="24"/>
        </w:rPr>
      </w:pPr>
      <w:r w:rsidRPr="007F1E3B">
        <w:drawing>
          <wp:inline distT="0" distB="0" distL="0" distR="0" wp14:anchorId="425FEB81" wp14:editId="74DA9903">
            <wp:extent cx="4391025" cy="3152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391025" cy="3152775"/>
                    </a:xfrm>
                    <a:prstGeom prst="rect">
                      <a:avLst/>
                    </a:prstGeom>
                  </pic:spPr>
                </pic:pic>
              </a:graphicData>
            </a:graphic>
          </wp:inline>
        </w:drawing>
      </w:r>
    </w:p>
    <w:p w:rsidR="007F1E3B" w:rsidRDefault="007F1E3B" w:rsidP="007F1E3B">
      <w:pPr>
        <w:ind w:left="360"/>
        <w:rPr>
          <w:sz w:val="24"/>
          <w:szCs w:val="24"/>
        </w:rPr>
      </w:pPr>
      <w:proofErr w:type="gramStart"/>
      <w:r w:rsidRPr="007F1E3B">
        <w:rPr>
          <w:sz w:val="24"/>
          <w:szCs w:val="24"/>
        </w:rPr>
        <w:t>Fig. 4.</w:t>
      </w:r>
      <w:proofErr w:type="gramEnd"/>
      <w:r w:rsidRPr="007F1E3B">
        <w:rPr>
          <w:sz w:val="24"/>
          <w:szCs w:val="24"/>
        </w:rPr>
        <w:t xml:space="preserve"> </w:t>
      </w:r>
      <w:proofErr w:type="gramStart"/>
      <w:r w:rsidRPr="007F1E3B">
        <w:rPr>
          <w:sz w:val="24"/>
          <w:szCs w:val="24"/>
        </w:rPr>
        <w:t>Restricted cubic spline plot of the relationship between latency of</w:t>
      </w:r>
      <w:r w:rsidR="00281F2A">
        <w:rPr>
          <w:sz w:val="24"/>
          <w:szCs w:val="24"/>
        </w:rPr>
        <w:t xml:space="preserve"> </w:t>
      </w:r>
      <w:r w:rsidRPr="007F1E3B">
        <w:rPr>
          <w:sz w:val="24"/>
          <w:szCs w:val="24"/>
        </w:rPr>
        <w:t>contralateral mobile phone use and glioma.</w:t>
      </w:r>
      <w:proofErr w:type="gramEnd"/>
      <w:r w:rsidRPr="007F1E3B">
        <w:rPr>
          <w:sz w:val="24"/>
          <w:szCs w:val="24"/>
        </w:rPr>
        <w:t xml:space="preserve"> The solid line indicates the OR</w:t>
      </w:r>
      <w:r w:rsidR="00281F2A">
        <w:rPr>
          <w:sz w:val="24"/>
          <w:szCs w:val="24"/>
        </w:rPr>
        <w:t xml:space="preserve"> </w:t>
      </w:r>
      <w:r w:rsidRPr="007F1E3B">
        <w:rPr>
          <w:sz w:val="24"/>
          <w:szCs w:val="24"/>
        </w:rPr>
        <w:t>estimate and the broken lines represent the 95% CI. Adjustment was made</w:t>
      </w:r>
      <w:r w:rsidR="001D1EE8">
        <w:rPr>
          <w:sz w:val="24"/>
          <w:szCs w:val="24"/>
        </w:rPr>
        <w:t xml:space="preserve"> </w:t>
      </w:r>
      <w:r w:rsidRPr="007F1E3B">
        <w:rPr>
          <w:sz w:val="24"/>
          <w:szCs w:val="24"/>
        </w:rPr>
        <w:t>for age at diagnosis, gender, SEI-code, and year for diagnosis. Population</w:t>
      </w:r>
      <w:r w:rsidR="00281F2A">
        <w:rPr>
          <w:sz w:val="24"/>
          <w:szCs w:val="24"/>
        </w:rPr>
        <w:t xml:space="preserve"> </w:t>
      </w:r>
      <w:r w:rsidRPr="007F1E3B">
        <w:rPr>
          <w:sz w:val="24"/>
          <w:szCs w:val="24"/>
        </w:rPr>
        <w:t>based controls were used.</w:t>
      </w:r>
    </w:p>
    <w:p w:rsidR="00F70441" w:rsidRDefault="00F70441" w:rsidP="007F1E3B">
      <w:pPr>
        <w:ind w:left="360"/>
        <w:rPr>
          <w:sz w:val="24"/>
          <w:szCs w:val="24"/>
        </w:rPr>
      </w:pPr>
    </w:p>
    <w:p w:rsidR="00F70441" w:rsidRDefault="00F70441" w:rsidP="007F1E3B">
      <w:pPr>
        <w:ind w:left="360"/>
        <w:rPr>
          <w:b/>
          <w:sz w:val="24"/>
          <w:szCs w:val="24"/>
        </w:rPr>
      </w:pPr>
      <w:r>
        <w:rPr>
          <w:b/>
          <w:sz w:val="24"/>
          <w:szCs w:val="24"/>
        </w:rPr>
        <w:t>Conclusions</w:t>
      </w:r>
    </w:p>
    <w:p w:rsidR="00F70441" w:rsidRDefault="00F70441" w:rsidP="007F1E3B">
      <w:pPr>
        <w:ind w:left="360"/>
        <w:rPr>
          <w:sz w:val="24"/>
          <w:szCs w:val="24"/>
        </w:rPr>
      </w:pPr>
      <w:r>
        <w:rPr>
          <w:sz w:val="24"/>
          <w:szCs w:val="24"/>
        </w:rPr>
        <w:t>The evidence continues to grow that all wireless transmitting devices (WTDs), not just wireless (cell and cordless) phones are a risk for cancer.  The WTDs known as laptop computers, tablets, note books etc. kept in immediate proximity to the user may be even more hazardous the wireless phones. This is because these WTDs exposure limits are certified at a distance of 20 centimeters (about 8 inches).  Certainly a laptop computer kept on the lap is not 8 inches away from the user.</w:t>
      </w:r>
    </w:p>
    <w:p w:rsidR="00F70441" w:rsidRDefault="00F70441" w:rsidP="007F1E3B">
      <w:pPr>
        <w:ind w:left="360"/>
        <w:rPr>
          <w:sz w:val="24"/>
          <w:szCs w:val="24"/>
        </w:rPr>
      </w:pPr>
    </w:p>
    <w:p w:rsidR="00F70441" w:rsidRDefault="00F70441" w:rsidP="007F1E3B">
      <w:pPr>
        <w:ind w:left="360"/>
        <w:rPr>
          <w:sz w:val="24"/>
          <w:szCs w:val="24"/>
        </w:rPr>
      </w:pPr>
      <w:r>
        <w:rPr>
          <w:sz w:val="24"/>
          <w:szCs w:val="24"/>
        </w:rPr>
        <w:t>Studies, including this study show</w:t>
      </w:r>
      <w:r w:rsidR="00F54CD9">
        <w:rPr>
          <w:sz w:val="24"/>
          <w:szCs w:val="24"/>
        </w:rPr>
        <w:t>,</w:t>
      </w:r>
      <w:r>
        <w:rPr>
          <w:sz w:val="24"/>
          <w:szCs w:val="24"/>
        </w:rPr>
        <w:t xml:space="preserve"> that child</w:t>
      </w:r>
      <w:r w:rsidR="00F54CD9">
        <w:rPr>
          <w:sz w:val="24"/>
          <w:szCs w:val="24"/>
        </w:rPr>
        <w:t>ren</w:t>
      </w:r>
      <w:r>
        <w:rPr>
          <w:sz w:val="24"/>
          <w:szCs w:val="24"/>
        </w:rPr>
        <w:t xml:space="preserve"> are at greater risk from </w:t>
      </w:r>
      <w:r w:rsidR="00F54CD9">
        <w:rPr>
          <w:sz w:val="24"/>
          <w:szCs w:val="24"/>
        </w:rPr>
        <w:t>exposure to any carcinogen compared to adults</w:t>
      </w:r>
      <w:proofErr w:type="gramStart"/>
      <w:r w:rsidR="0074524D">
        <w:rPr>
          <w:sz w:val="24"/>
          <w:szCs w:val="24"/>
        </w:rPr>
        <w:t>;</w:t>
      </w:r>
      <w:r w:rsidR="00F54CD9">
        <w:rPr>
          <w:sz w:val="24"/>
          <w:szCs w:val="24"/>
        </w:rPr>
        <w:t xml:space="preserve">  And</w:t>
      </w:r>
      <w:proofErr w:type="gramEnd"/>
      <w:r w:rsidR="0074524D">
        <w:rPr>
          <w:sz w:val="24"/>
          <w:szCs w:val="24"/>
        </w:rPr>
        <w:t>,</w:t>
      </w:r>
      <w:r w:rsidR="00F54CD9">
        <w:rPr>
          <w:sz w:val="24"/>
          <w:szCs w:val="24"/>
        </w:rPr>
        <w:t xml:space="preserve"> the younger the child the higher the risk.</w:t>
      </w:r>
    </w:p>
    <w:p w:rsidR="0074524D" w:rsidRDefault="0074524D" w:rsidP="007F1E3B">
      <w:pPr>
        <w:ind w:left="360"/>
        <w:rPr>
          <w:sz w:val="24"/>
          <w:szCs w:val="24"/>
        </w:rPr>
      </w:pPr>
    </w:p>
    <w:p w:rsidR="0074524D" w:rsidRDefault="0074524D" w:rsidP="007F1E3B">
      <w:pPr>
        <w:ind w:left="360"/>
        <w:rPr>
          <w:sz w:val="24"/>
          <w:szCs w:val="24"/>
        </w:rPr>
      </w:pPr>
      <w:r>
        <w:rPr>
          <w:sz w:val="24"/>
          <w:szCs w:val="24"/>
        </w:rPr>
        <w:t>No other research group has yet to report risk on the 3rd generation cellphones.  Nevertheless a 4</w:t>
      </w:r>
      <w:r w:rsidRPr="0074524D">
        <w:rPr>
          <w:sz w:val="24"/>
          <w:szCs w:val="24"/>
          <w:vertAlign w:val="superscript"/>
        </w:rPr>
        <w:t>th</w:t>
      </w:r>
      <w:r>
        <w:rPr>
          <w:sz w:val="24"/>
          <w:szCs w:val="24"/>
        </w:rPr>
        <w:t xml:space="preserve"> generation</w:t>
      </w:r>
      <w:r w:rsidR="003E4C99">
        <w:rPr>
          <w:sz w:val="24"/>
          <w:szCs w:val="24"/>
        </w:rPr>
        <w:t xml:space="preserve"> LTE modulated</w:t>
      </w:r>
      <w:r>
        <w:rPr>
          <w:sz w:val="24"/>
          <w:szCs w:val="24"/>
        </w:rPr>
        <w:t xml:space="preserve"> cellphone was introduced some time ago.    LTE’s (Long Term Evolution) modulation appears to be a hybrid between GMS and UMTS modulation techniques. </w:t>
      </w:r>
      <w:hyperlink r:id="rId15" w:history="1">
        <w:r w:rsidRPr="0074524D">
          <w:rPr>
            <w:rStyle w:val="Hyperlink"/>
            <w:sz w:val="24"/>
            <w:szCs w:val="24"/>
          </w:rPr>
          <w:t>It is based on the GSM/EDGE and UMTS/HSPA network technologies</w:t>
        </w:r>
      </w:hyperlink>
      <w:r w:rsidR="00D15862">
        <w:rPr>
          <w:sz w:val="24"/>
          <w:szCs w:val="24"/>
        </w:rPr>
        <w:t>.</w:t>
      </w:r>
      <w:r w:rsidR="003E4C99" w:rsidRPr="003E4C99">
        <w:rPr>
          <w:sz w:val="24"/>
          <w:szCs w:val="24"/>
        </w:rPr>
        <w:t xml:space="preserve"> </w:t>
      </w:r>
      <w:r w:rsidR="003E4C99">
        <w:rPr>
          <w:sz w:val="24"/>
          <w:szCs w:val="24"/>
        </w:rPr>
        <w:t>The G4, LTE modulated cellphones may be better, or may be worse that the G3 UMTS modulated cellphones.  We can only wait and see.</w:t>
      </w:r>
    </w:p>
    <w:p w:rsidR="003E4C99" w:rsidRDefault="003E4C99" w:rsidP="007F1E3B">
      <w:pPr>
        <w:ind w:left="360"/>
        <w:rPr>
          <w:sz w:val="24"/>
          <w:szCs w:val="24"/>
        </w:rPr>
      </w:pPr>
    </w:p>
    <w:p w:rsidR="003E4C99" w:rsidRPr="00F70441" w:rsidRDefault="003E4C99" w:rsidP="007F1E3B">
      <w:pPr>
        <w:ind w:left="360"/>
        <w:rPr>
          <w:sz w:val="24"/>
          <w:szCs w:val="24"/>
        </w:rPr>
      </w:pPr>
      <w:r>
        <w:rPr>
          <w:sz w:val="24"/>
          <w:szCs w:val="24"/>
        </w:rPr>
        <w:t>Meanwhile work is underway for a 5</w:t>
      </w:r>
      <w:r w:rsidRPr="003E4C99">
        <w:rPr>
          <w:sz w:val="24"/>
          <w:szCs w:val="24"/>
          <w:vertAlign w:val="superscript"/>
        </w:rPr>
        <w:t>th</w:t>
      </w:r>
      <w:r>
        <w:rPr>
          <w:sz w:val="24"/>
          <w:szCs w:val="24"/>
        </w:rPr>
        <w:t xml:space="preserve"> generation cellphone.</w:t>
      </w:r>
      <w:bookmarkStart w:id="0" w:name="_GoBack"/>
      <w:bookmarkEnd w:id="0"/>
    </w:p>
    <w:sectPr w:rsidR="003E4C99" w:rsidRPr="00F7044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43F" w:rsidRDefault="0088143F" w:rsidP="004A239A">
      <w:pPr>
        <w:spacing w:after="0"/>
      </w:pPr>
      <w:r>
        <w:separator/>
      </w:r>
    </w:p>
  </w:endnote>
  <w:endnote w:type="continuationSeparator" w:id="0">
    <w:p w:rsidR="0088143F" w:rsidRDefault="0088143F" w:rsidP="004A23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18" w:rsidRDefault="00320D1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Lloyd Morgan, 27 Nov. 2014</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3E4C99" w:rsidRPr="003E4C99">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rsidR="00320D18" w:rsidRDefault="00320D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43F" w:rsidRDefault="0088143F" w:rsidP="004A239A">
      <w:pPr>
        <w:spacing w:after="0"/>
      </w:pPr>
      <w:r>
        <w:separator/>
      </w:r>
    </w:p>
  </w:footnote>
  <w:footnote w:type="continuationSeparator" w:id="0">
    <w:p w:rsidR="0088143F" w:rsidRDefault="0088143F" w:rsidP="004A239A">
      <w:pPr>
        <w:spacing w:after="0"/>
      </w:pPr>
      <w:r>
        <w:continuationSeparator/>
      </w:r>
    </w:p>
  </w:footnote>
  <w:footnote w:id="1">
    <w:p w:rsidR="00A2377F" w:rsidRDefault="00A2377F">
      <w:pPr>
        <w:pStyle w:val="FootnoteText"/>
      </w:pPr>
      <w:r>
        <w:rPr>
          <w:rStyle w:val="FootnoteReference"/>
        </w:rPr>
        <w:footnoteRef/>
      </w:r>
      <w:r>
        <w:t xml:space="preserve"> Hardell L, Carlberg M.  </w:t>
      </w:r>
      <w:r w:rsidRPr="00A2377F">
        <w:t>Mobile phone and cordless phone use and the risk for glioma – Analysis of pooled case-control studies in Sweden, 1997–2003 and 2007–2009</w:t>
      </w:r>
      <w:r>
        <w:t>.  Pathophysiology 2014 In-Press</w:t>
      </w:r>
    </w:p>
  </w:footnote>
  <w:footnote w:id="2">
    <w:p w:rsidR="004A239A" w:rsidRDefault="004A239A">
      <w:pPr>
        <w:pStyle w:val="FootnoteText"/>
      </w:pPr>
      <w:r>
        <w:rPr>
          <w:rStyle w:val="FootnoteReference"/>
        </w:rPr>
        <w:footnoteRef/>
      </w:r>
      <w:r>
        <w:t xml:space="preserve"> “Average” because phones Adaptive Power Control (APC) circuitry controlled by cell tower that reduces the power to a level sufficient to have an adequate signal to noise ratio (SNR).</w:t>
      </w:r>
    </w:p>
  </w:footnote>
  <w:footnote w:id="3">
    <w:p w:rsidR="00011C16" w:rsidRDefault="00011C16">
      <w:pPr>
        <w:pStyle w:val="FootnoteText"/>
      </w:pPr>
      <w:r>
        <w:rPr>
          <w:rStyle w:val="FootnoteReference"/>
        </w:rPr>
        <w:footnoteRef/>
      </w:r>
      <w:r>
        <w:t xml:space="preserve"> Because 3 G phones were recently introduced this is the maximum category of use available </w:t>
      </w:r>
      <w:r w:rsidR="00D65F3C">
        <w:t>to date; t</w:t>
      </w:r>
      <w:r>
        <w:t>he Hardell team is the only study reporting risk of 3G phones.</w:t>
      </w:r>
    </w:p>
  </w:footnote>
  <w:footnote w:id="4">
    <w:p w:rsidR="00011C16" w:rsidRDefault="00011C16">
      <w:pPr>
        <w:pStyle w:val="FootnoteText"/>
      </w:pPr>
      <w:r>
        <w:rPr>
          <w:rStyle w:val="FootnoteReference"/>
        </w:rPr>
        <w:footnoteRef/>
      </w:r>
      <w:r>
        <w:t xml:space="preserve"> Ipsilateral use, ≥50% of the time phone held on side of head where tumor was located.</w:t>
      </w:r>
    </w:p>
  </w:footnote>
  <w:footnote w:id="5">
    <w:p w:rsidR="00011C16" w:rsidRDefault="00011C16">
      <w:pPr>
        <w:pStyle w:val="FootnoteText"/>
      </w:pPr>
      <w:r>
        <w:rPr>
          <w:rStyle w:val="FootnoteReference"/>
        </w:rPr>
        <w:footnoteRef/>
      </w:r>
      <w:r>
        <w:t xml:space="preserve"> Contralateral use, &lt;50% of the time phone held on side of head where tumor was located.</w:t>
      </w:r>
    </w:p>
  </w:footnote>
  <w:footnote w:id="6">
    <w:p w:rsidR="002B12A4" w:rsidRDefault="002B12A4">
      <w:pPr>
        <w:pStyle w:val="FootnoteText"/>
      </w:pPr>
      <w:r>
        <w:rPr>
          <w:rStyle w:val="FootnoteReference"/>
        </w:rPr>
        <w:footnoteRef/>
      </w:r>
      <w:r>
        <w:t xml:space="preserve"> </w:t>
      </w:r>
      <w:r w:rsidRPr="002B12A4">
        <w:rPr>
          <w:highlight w:val="yellow"/>
        </w:rPr>
        <w:t>I.Y. Belyaev</w:t>
      </w:r>
      <w:r w:rsidRPr="002B12A4">
        <w:t xml:space="preserve">, E. Markova, L. </w:t>
      </w:r>
      <w:proofErr w:type="spellStart"/>
      <w:r w:rsidRPr="002B12A4">
        <w:t>Hillert</w:t>
      </w:r>
      <w:proofErr w:type="spellEnd"/>
      <w:r w:rsidRPr="002B12A4">
        <w:t xml:space="preserve">, L.O.G. </w:t>
      </w:r>
      <w:proofErr w:type="spellStart"/>
      <w:r w:rsidRPr="002B12A4">
        <w:t>Malmgren</w:t>
      </w:r>
      <w:proofErr w:type="spellEnd"/>
      <w:r w:rsidRPr="002B12A4">
        <w:t xml:space="preserve">, B.R.R. </w:t>
      </w:r>
      <w:proofErr w:type="spellStart"/>
      <w:r w:rsidRPr="002B12A4">
        <w:t>Pers</w:t>
      </w:r>
      <w:proofErr w:type="spellEnd"/>
      <w:r w:rsidRPr="002B12A4">
        <w:t>-son, Microwaves from UMTS/GSM mobile phones induce long-lasting</w:t>
      </w:r>
      <w:r>
        <w:t xml:space="preserve"> </w:t>
      </w:r>
      <w:r w:rsidRPr="002B12A4">
        <w:t>inhibition of 53BP1/-H2AX DNA repair foci in human lymphocytes,</w:t>
      </w:r>
      <w:r>
        <w:t xml:space="preserve"> </w:t>
      </w:r>
      <w:r w:rsidRPr="002B12A4">
        <w:t>Bioelectromagnetics 30 (2009) 129–141.</w:t>
      </w:r>
    </w:p>
  </w:footnote>
  <w:footnote w:id="7">
    <w:p w:rsidR="002B12A4" w:rsidRDefault="002B12A4">
      <w:pPr>
        <w:pStyle w:val="FootnoteText"/>
      </w:pPr>
      <w:r>
        <w:rPr>
          <w:rStyle w:val="FootnoteReference"/>
        </w:rPr>
        <w:footnoteRef/>
      </w:r>
      <w:r>
        <w:t xml:space="preserve"> </w:t>
      </w:r>
      <w:r w:rsidRPr="002B12A4">
        <w:t xml:space="preserve">E. Markova, L.O.G. </w:t>
      </w:r>
      <w:proofErr w:type="spellStart"/>
      <w:r w:rsidRPr="002B12A4">
        <w:t>Malmgren</w:t>
      </w:r>
      <w:proofErr w:type="spellEnd"/>
      <w:r w:rsidRPr="002B12A4">
        <w:t xml:space="preserve">, </w:t>
      </w:r>
      <w:r w:rsidRPr="002B12A4">
        <w:rPr>
          <w:highlight w:val="yellow"/>
        </w:rPr>
        <w:t>I.Y. Belyaev</w:t>
      </w:r>
      <w:r w:rsidRPr="002B12A4">
        <w:t xml:space="preserve">, Microwaves from </w:t>
      </w:r>
      <w:proofErr w:type="spellStart"/>
      <w:r w:rsidRPr="002B12A4">
        <w:t>mobilephones</w:t>
      </w:r>
      <w:proofErr w:type="spellEnd"/>
      <w:r w:rsidRPr="002B12A4">
        <w:t xml:space="preserve"> </w:t>
      </w:r>
      <w:proofErr w:type="gramStart"/>
      <w:r w:rsidRPr="002B12A4">
        <w:t>inhibit</w:t>
      </w:r>
      <w:proofErr w:type="gramEnd"/>
      <w:r w:rsidRPr="002B12A4">
        <w:t xml:space="preserve"> 53BP1 focus formation in human stem cells more</w:t>
      </w:r>
      <w:r>
        <w:t xml:space="preserve"> </w:t>
      </w:r>
      <w:r w:rsidRPr="002B12A4">
        <w:t>strongly than in differentiated cells: possible mechanistic link to cancer</w:t>
      </w:r>
      <w:r>
        <w:t xml:space="preserve"> </w:t>
      </w:r>
      <w:r w:rsidRPr="002B12A4">
        <w:t xml:space="preserve">risk, Environ. </w:t>
      </w:r>
      <w:proofErr w:type="gramStart"/>
      <w:r w:rsidRPr="002B12A4">
        <w:t xml:space="preserve">Health </w:t>
      </w:r>
      <w:proofErr w:type="spellStart"/>
      <w:r w:rsidRPr="002B12A4">
        <w:t>Perspect</w:t>
      </w:r>
      <w:proofErr w:type="spellEnd"/>
      <w:r w:rsidRPr="002B12A4">
        <w:t>.</w:t>
      </w:r>
      <w:proofErr w:type="gramEnd"/>
      <w:r w:rsidRPr="002B12A4">
        <w:t xml:space="preserve"> 118 (2010) 394–399.</w:t>
      </w:r>
    </w:p>
  </w:footnote>
  <w:footnote w:id="8">
    <w:p w:rsidR="002B12A4" w:rsidRDefault="002B12A4">
      <w:pPr>
        <w:pStyle w:val="FootnoteText"/>
      </w:pPr>
      <w:r>
        <w:rPr>
          <w:rStyle w:val="FootnoteReference"/>
        </w:rPr>
        <w:footnoteRef/>
      </w:r>
      <w:r>
        <w:t xml:space="preserve"> DSB:  DNA double strand breaks</w:t>
      </w:r>
    </w:p>
  </w:footnote>
  <w:footnote w:id="9">
    <w:p w:rsidR="00281F2A" w:rsidRDefault="00281F2A">
      <w:pPr>
        <w:pStyle w:val="FootnoteText"/>
      </w:pPr>
      <w:r>
        <w:rPr>
          <w:rStyle w:val="FootnoteReference"/>
        </w:rPr>
        <w:footnoteRef/>
      </w:r>
      <w:r>
        <w:t xml:space="preserve"> SEI-code:  </w:t>
      </w:r>
      <w:r w:rsidRPr="00281F2A">
        <w:t>socio-economic index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E81186"/>
    <w:multiLevelType w:val="hybridMultilevel"/>
    <w:tmpl w:val="ED84A1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BAA"/>
    <w:rsid w:val="00011C16"/>
    <w:rsid w:val="00052764"/>
    <w:rsid w:val="00134BAA"/>
    <w:rsid w:val="001D1EE8"/>
    <w:rsid w:val="00281F2A"/>
    <w:rsid w:val="002B12A4"/>
    <w:rsid w:val="00320D18"/>
    <w:rsid w:val="003B4BF2"/>
    <w:rsid w:val="003E4C99"/>
    <w:rsid w:val="004A239A"/>
    <w:rsid w:val="005D7D5C"/>
    <w:rsid w:val="006129F8"/>
    <w:rsid w:val="006404FC"/>
    <w:rsid w:val="0066750C"/>
    <w:rsid w:val="006B1E00"/>
    <w:rsid w:val="0074524D"/>
    <w:rsid w:val="007B0354"/>
    <w:rsid w:val="007F1E3B"/>
    <w:rsid w:val="0088143F"/>
    <w:rsid w:val="008D3AED"/>
    <w:rsid w:val="009A159C"/>
    <w:rsid w:val="009A6EC0"/>
    <w:rsid w:val="00A2377F"/>
    <w:rsid w:val="00AB5CBC"/>
    <w:rsid w:val="00AC78A6"/>
    <w:rsid w:val="00CB208E"/>
    <w:rsid w:val="00CD531C"/>
    <w:rsid w:val="00CF09F3"/>
    <w:rsid w:val="00D15862"/>
    <w:rsid w:val="00D2435F"/>
    <w:rsid w:val="00D65F3C"/>
    <w:rsid w:val="00E239EE"/>
    <w:rsid w:val="00F54CD9"/>
    <w:rsid w:val="00F70441"/>
    <w:rsid w:val="00FA1261"/>
    <w:rsid w:val="00FA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F8"/>
    <w:pPr>
      <w:spacing w:line="240" w:lineRule="auto"/>
      <w:contextualSpacing/>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Loyd">
    <w:name w:val="LLoyd"/>
    <w:basedOn w:val="Normal"/>
    <w:link w:val="LLoydChar"/>
    <w:autoRedefine/>
    <w:qFormat/>
    <w:rsid w:val="009A159C"/>
  </w:style>
  <w:style w:type="character" w:customStyle="1" w:styleId="LLoydChar">
    <w:name w:val="LLoyd Char"/>
    <w:basedOn w:val="DefaultParagraphFont"/>
    <w:link w:val="LLoyd"/>
    <w:rsid w:val="009A159C"/>
    <w:rPr>
      <w:rFonts w:ascii="Times New Roman" w:hAnsi="Times New Roman"/>
      <w:sz w:val="28"/>
    </w:rPr>
  </w:style>
  <w:style w:type="paragraph" w:styleId="FootnoteText">
    <w:name w:val="footnote text"/>
    <w:basedOn w:val="Normal"/>
    <w:link w:val="FootnoteTextChar"/>
    <w:uiPriority w:val="99"/>
    <w:semiHidden/>
    <w:unhideWhenUsed/>
    <w:rsid w:val="004A239A"/>
    <w:pPr>
      <w:spacing w:after="0"/>
    </w:pPr>
    <w:rPr>
      <w:sz w:val="20"/>
      <w:szCs w:val="20"/>
    </w:rPr>
  </w:style>
  <w:style w:type="character" w:customStyle="1" w:styleId="FootnoteTextChar">
    <w:name w:val="Footnote Text Char"/>
    <w:basedOn w:val="DefaultParagraphFont"/>
    <w:link w:val="FootnoteText"/>
    <w:uiPriority w:val="99"/>
    <w:semiHidden/>
    <w:rsid w:val="004A239A"/>
    <w:rPr>
      <w:sz w:val="20"/>
      <w:szCs w:val="20"/>
    </w:rPr>
  </w:style>
  <w:style w:type="character" w:styleId="FootnoteReference">
    <w:name w:val="footnote reference"/>
    <w:basedOn w:val="DefaultParagraphFont"/>
    <w:uiPriority w:val="99"/>
    <w:semiHidden/>
    <w:unhideWhenUsed/>
    <w:rsid w:val="004A239A"/>
    <w:rPr>
      <w:vertAlign w:val="superscript"/>
    </w:rPr>
  </w:style>
  <w:style w:type="paragraph" w:styleId="ListParagraph">
    <w:name w:val="List Paragraph"/>
    <w:basedOn w:val="Normal"/>
    <w:uiPriority w:val="34"/>
    <w:qFormat/>
    <w:rsid w:val="009A6EC0"/>
    <w:pPr>
      <w:ind w:left="720"/>
    </w:pPr>
  </w:style>
  <w:style w:type="paragraph" w:styleId="BalloonText">
    <w:name w:val="Balloon Text"/>
    <w:basedOn w:val="Normal"/>
    <w:link w:val="BalloonTextChar"/>
    <w:uiPriority w:val="99"/>
    <w:semiHidden/>
    <w:unhideWhenUsed/>
    <w:rsid w:val="00E239E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EE"/>
    <w:rPr>
      <w:rFonts w:ascii="Tahoma" w:hAnsi="Tahoma" w:cs="Tahoma"/>
      <w:sz w:val="16"/>
      <w:szCs w:val="16"/>
    </w:rPr>
  </w:style>
  <w:style w:type="character" w:styleId="Hyperlink">
    <w:name w:val="Hyperlink"/>
    <w:basedOn w:val="DefaultParagraphFont"/>
    <w:uiPriority w:val="99"/>
    <w:unhideWhenUsed/>
    <w:rsid w:val="00FA50DF"/>
    <w:rPr>
      <w:color w:val="0000FF" w:themeColor="hyperlink"/>
      <w:u w:val="single"/>
    </w:rPr>
  </w:style>
  <w:style w:type="paragraph" w:styleId="Header">
    <w:name w:val="header"/>
    <w:basedOn w:val="Normal"/>
    <w:link w:val="HeaderChar"/>
    <w:uiPriority w:val="99"/>
    <w:unhideWhenUsed/>
    <w:rsid w:val="00320D18"/>
    <w:pPr>
      <w:tabs>
        <w:tab w:val="center" w:pos="4680"/>
        <w:tab w:val="right" w:pos="9360"/>
      </w:tabs>
      <w:spacing w:after="0"/>
    </w:pPr>
  </w:style>
  <w:style w:type="character" w:customStyle="1" w:styleId="HeaderChar">
    <w:name w:val="Header Char"/>
    <w:basedOn w:val="DefaultParagraphFont"/>
    <w:link w:val="Header"/>
    <w:uiPriority w:val="99"/>
    <w:rsid w:val="00320D18"/>
  </w:style>
  <w:style w:type="paragraph" w:styleId="Footer">
    <w:name w:val="footer"/>
    <w:basedOn w:val="Normal"/>
    <w:link w:val="FooterChar"/>
    <w:uiPriority w:val="99"/>
    <w:unhideWhenUsed/>
    <w:rsid w:val="00320D18"/>
    <w:pPr>
      <w:tabs>
        <w:tab w:val="center" w:pos="4680"/>
        <w:tab w:val="right" w:pos="9360"/>
      </w:tabs>
      <w:spacing w:after="0"/>
    </w:pPr>
  </w:style>
  <w:style w:type="character" w:customStyle="1" w:styleId="FooterChar">
    <w:name w:val="Footer Char"/>
    <w:basedOn w:val="DefaultParagraphFont"/>
    <w:link w:val="Footer"/>
    <w:uiPriority w:val="99"/>
    <w:rsid w:val="00320D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F8"/>
    <w:pPr>
      <w:spacing w:line="240" w:lineRule="auto"/>
      <w:contextualSpacing/>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Loyd">
    <w:name w:val="LLoyd"/>
    <w:basedOn w:val="Normal"/>
    <w:link w:val="LLoydChar"/>
    <w:autoRedefine/>
    <w:qFormat/>
    <w:rsid w:val="009A159C"/>
  </w:style>
  <w:style w:type="character" w:customStyle="1" w:styleId="LLoydChar">
    <w:name w:val="LLoyd Char"/>
    <w:basedOn w:val="DefaultParagraphFont"/>
    <w:link w:val="LLoyd"/>
    <w:rsid w:val="009A159C"/>
    <w:rPr>
      <w:rFonts w:ascii="Times New Roman" w:hAnsi="Times New Roman"/>
      <w:sz w:val="28"/>
    </w:rPr>
  </w:style>
  <w:style w:type="paragraph" w:styleId="FootnoteText">
    <w:name w:val="footnote text"/>
    <w:basedOn w:val="Normal"/>
    <w:link w:val="FootnoteTextChar"/>
    <w:uiPriority w:val="99"/>
    <w:semiHidden/>
    <w:unhideWhenUsed/>
    <w:rsid w:val="004A239A"/>
    <w:pPr>
      <w:spacing w:after="0"/>
    </w:pPr>
    <w:rPr>
      <w:sz w:val="20"/>
      <w:szCs w:val="20"/>
    </w:rPr>
  </w:style>
  <w:style w:type="character" w:customStyle="1" w:styleId="FootnoteTextChar">
    <w:name w:val="Footnote Text Char"/>
    <w:basedOn w:val="DefaultParagraphFont"/>
    <w:link w:val="FootnoteText"/>
    <w:uiPriority w:val="99"/>
    <w:semiHidden/>
    <w:rsid w:val="004A239A"/>
    <w:rPr>
      <w:sz w:val="20"/>
      <w:szCs w:val="20"/>
    </w:rPr>
  </w:style>
  <w:style w:type="character" w:styleId="FootnoteReference">
    <w:name w:val="footnote reference"/>
    <w:basedOn w:val="DefaultParagraphFont"/>
    <w:uiPriority w:val="99"/>
    <w:semiHidden/>
    <w:unhideWhenUsed/>
    <w:rsid w:val="004A239A"/>
    <w:rPr>
      <w:vertAlign w:val="superscript"/>
    </w:rPr>
  </w:style>
  <w:style w:type="paragraph" w:styleId="ListParagraph">
    <w:name w:val="List Paragraph"/>
    <w:basedOn w:val="Normal"/>
    <w:uiPriority w:val="34"/>
    <w:qFormat/>
    <w:rsid w:val="009A6EC0"/>
    <w:pPr>
      <w:ind w:left="720"/>
    </w:pPr>
  </w:style>
  <w:style w:type="paragraph" w:styleId="BalloonText">
    <w:name w:val="Balloon Text"/>
    <w:basedOn w:val="Normal"/>
    <w:link w:val="BalloonTextChar"/>
    <w:uiPriority w:val="99"/>
    <w:semiHidden/>
    <w:unhideWhenUsed/>
    <w:rsid w:val="00E239E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EE"/>
    <w:rPr>
      <w:rFonts w:ascii="Tahoma" w:hAnsi="Tahoma" w:cs="Tahoma"/>
      <w:sz w:val="16"/>
      <w:szCs w:val="16"/>
    </w:rPr>
  </w:style>
  <w:style w:type="character" w:styleId="Hyperlink">
    <w:name w:val="Hyperlink"/>
    <w:basedOn w:val="DefaultParagraphFont"/>
    <w:uiPriority w:val="99"/>
    <w:unhideWhenUsed/>
    <w:rsid w:val="00FA50DF"/>
    <w:rPr>
      <w:color w:val="0000FF" w:themeColor="hyperlink"/>
      <w:u w:val="single"/>
    </w:rPr>
  </w:style>
  <w:style w:type="paragraph" w:styleId="Header">
    <w:name w:val="header"/>
    <w:basedOn w:val="Normal"/>
    <w:link w:val="HeaderChar"/>
    <w:uiPriority w:val="99"/>
    <w:unhideWhenUsed/>
    <w:rsid w:val="00320D18"/>
    <w:pPr>
      <w:tabs>
        <w:tab w:val="center" w:pos="4680"/>
        <w:tab w:val="right" w:pos="9360"/>
      </w:tabs>
      <w:spacing w:after="0"/>
    </w:pPr>
  </w:style>
  <w:style w:type="character" w:customStyle="1" w:styleId="HeaderChar">
    <w:name w:val="Header Char"/>
    <w:basedOn w:val="DefaultParagraphFont"/>
    <w:link w:val="Header"/>
    <w:uiPriority w:val="99"/>
    <w:rsid w:val="00320D18"/>
  </w:style>
  <w:style w:type="paragraph" w:styleId="Footer">
    <w:name w:val="footer"/>
    <w:basedOn w:val="Normal"/>
    <w:link w:val="FooterChar"/>
    <w:uiPriority w:val="99"/>
    <w:unhideWhenUsed/>
    <w:rsid w:val="00320D18"/>
    <w:pPr>
      <w:tabs>
        <w:tab w:val="center" w:pos="4680"/>
        <w:tab w:val="right" w:pos="9360"/>
      </w:tabs>
      <w:spacing w:after="0"/>
    </w:pPr>
  </w:style>
  <w:style w:type="character" w:customStyle="1" w:styleId="FooterChar">
    <w:name w:val="Footer Char"/>
    <w:basedOn w:val="DefaultParagraphFont"/>
    <w:link w:val="Footer"/>
    <w:uiPriority w:val="99"/>
    <w:rsid w:val="00320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en.wikipedia.org/wiki/LTE_%28telecommunication%29" TargetMode="External"/><Relationship Id="rId10" Type="http://schemas.openxmlformats.org/officeDocument/2006/relationships/hyperlink" Target="http://www.itis.ethz.ch/news-events/news/publications/2004/final-report-on-reflex-and-project-summary-now-available/"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A97E7-7363-4ABC-9BBA-49AF0419B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Lloyd</dc:creator>
  <cp:lastModifiedBy>Lloyd</cp:lastModifiedBy>
  <cp:revision>4</cp:revision>
  <dcterms:created xsi:type="dcterms:W3CDTF">2014-11-27T23:17:00Z</dcterms:created>
  <dcterms:modified xsi:type="dcterms:W3CDTF">2014-11-27T23:29:00Z</dcterms:modified>
</cp:coreProperties>
</file>