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04394" w14:textId="71CD2F66" w:rsidR="007F12F4" w:rsidRDefault="007F12F4" w:rsidP="007F12F4">
      <w:pPr>
        <w:spacing w:after="0" w:line="240" w:lineRule="auto"/>
        <w:rPr>
          <w:rFonts w:ascii="Arial" w:eastAsia="Times New Roman" w:hAnsi="Arial" w:cs="Arial"/>
          <w:b/>
          <w:bCs/>
          <w:kern w:val="0"/>
          <w:sz w:val="24"/>
          <w:szCs w:val="24"/>
          <w:lang w:eastAsia="en-AU"/>
          <w14:ligatures w14:val="none"/>
        </w:rPr>
      </w:pPr>
      <w:r>
        <w:rPr>
          <w:rFonts w:ascii="Arial" w:eastAsia="Times New Roman" w:hAnsi="Arial" w:cs="Arial"/>
          <w:b/>
          <w:bCs/>
          <w:kern w:val="0"/>
          <w:sz w:val="24"/>
          <w:szCs w:val="24"/>
          <w:lang w:eastAsia="en-AU"/>
          <w14:ligatures w14:val="none"/>
        </w:rPr>
        <w:t xml:space="preserve">Vulnerable individuals such as those experiencing EHS and children are at risk with our current standards of measurement for EMF. </w:t>
      </w:r>
    </w:p>
    <w:p w14:paraId="0C6DB3D5" w14:textId="77777777" w:rsidR="007F12F4" w:rsidRDefault="007F12F4" w:rsidP="007F12F4">
      <w:pPr>
        <w:spacing w:after="0" w:line="240" w:lineRule="auto"/>
        <w:rPr>
          <w:rFonts w:ascii="Arial" w:eastAsia="Times New Roman" w:hAnsi="Arial" w:cs="Arial"/>
          <w:b/>
          <w:bCs/>
          <w:kern w:val="0"/>
          <w:sz w:val="24"/>
          <w:szCs w:val="24"/>
          <w:lang w:eastAsia="en-AU"/>
          <w14:ligatures w14:val="none"/>
        </w:rPr>
      </w:pPr>
    </w:p>
    <w:p w14:paraId="78B0B688" w14:textId="0ACD2AD1"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Currently, global radiation protection guidelines rely on the </w:t>
      </w:r>
      <w:r w:rsidRPr="007F12F4">
        <w:rPr>
          <w:rFonts w:ascii="Arial" w:eastAsia="Times New Roman" w:hAnsi="Arial" w:cs="Arial"/>
          <w:b/>
          <w:bCs/>
          <w:kern w:val="0"/>
          <w:sz w:val="24"/>
          <w:szCs w:val="24"/>
          <w:lang w:eastAsia="en-AU"/>
          <w14:ligatures w14:val="none"/>
        </w:rPr>
        <w:t>Linear No-Threshold (LNT) model</w:t>
      </w:r>
      <w:r w:rsidRPr="007F12F4">
        <w:rPr>
          <w:rFonts w:ascii="Arial" w:eastAsia="Times New Roman" w:hAnsi="Arial" w:cs="Arial"/>
          <w:kern w:val="0"/>
          <w:sz w:val="24"/>
          <w:szCs w:val="24"/>
          <w:lang w:eastAsia="en-AU"/>
          <w14:ligatures w14:val="none"/>
        </w:rPr>
        <w:t xml:space="preserve">. The LNT model assumes that </w:t>
      </w:r>
      <w:r w:rsidRPr="007F12F4">
        <w:rPr>
          <w:rFonts w:ascii="Arial" w:eastAsia="Times New Roman" w:hAnsi="Arial" w:cs="Arial"/>
          <w:b/>
          <w:bCs/>
          <w:kern w:val="0"/>
          <w:sz w:val="24"/>
          <w:szCs w:val="24"/>
          <w:lang w:eastAsia="en-AU"/>
          <w14:ligatures w14:val="none"/>
        </w:rPr>
        <w:t>any dose of radiation, no matter how small, carries some risk to human health</w:t>
      </w:r>
      <w:r w:rsidRPr="007F12F4">
        <w:rPr>
          <w:rFonts w:ascii="Arial" w:eastAsia="Times New Roman" w:hAnsi="Arial" w:cs="Arial"/>
          <w:kern w:val="0"/>
          <w:sz w:val="24"/>
          <w:szCs w:val="24"/>
          <w:lang w:eastAsia="en-AU"/>
          <w14:ligatures w14:val="none"/>
        </w:rPr>
        <w:t>. While these existing standards are designed to keep exposures "As Low As Reasonably Achievable" (ALARA), a growing body of research suggests that current protocols may not fully protect vulnerable populations or future generations. [</w:t>
      </w:r>
      <w:hyperlink r:id="rId5"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6"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 xml:space="preserve">, </w:t>
      </w:r>
      <w:hyperlink r:id="rId7" w:history="1">
        <w:r w:rsidRPr="007F12F4">
          <w:rPr>
            <w:rFonts w:ascii="Arial" w:eastAsia="Times New Roman" w:hAnsi="Arial" w:cs="Arial"/>
            <w:color w:val="0000FF"/>
            <w:kern w:val="0"/>
            <w:sz w:val="24"/>
            <w:szCs w:val="24"/>
            <w:u w:val="single"/>
            <w:lang w:eastAsia="en-AU"/>
            <w14:ligatures w14:val="none"/>
          </w:rPr>
          <w:t>3</w:t>
        </w:r>
      </w:hyperlink>
      <w:r w:rsidRPr="007F12F4">
        <w:rPr>
          <w:rFonts w:ascii="Arial" w:eastAsia="Times New Roman" w:hAnsi="Arial" w:cs="Arial"/>
          <w:kern w:val="0"/>
          <w:sz w:val="24"/>
          <w:szCs w:val="24"/>
          <w:lang w:eastAsia="en-AU"/>
          <w14:ligatures w14:val="none"/>
        </w:rPr>
        <w:t>]</w:t>
      </w:r>
    </w:p>
    <w:p w14:paraId="2E577558"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Key arguments and research lines suggesting that current standards need adjustment include:</w:t>
      </w:r>
    </w:p>
    <w:p w14:paraId="6C3D8735"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1. Disproportionate Harm to Women and Children</w:t>
      </w:r>
    </w:p>
    <w:p w14:paraId="0F78FF15"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A significant critique of current safety limits is that they are historically based on the </w:t>
      </w:r>
      <w:r w:rsidRPr="007F12F4">
        <w:rPr>
          <w:rFonts w:ascii="Arial" w:eastAsia="Times New Roman" w:hAnsi="Arial" w:cs="Arial"/>
          <w:b/>
          <w:bCs/>
          <w:kern w:val="0"/>
          <w:sz w:val="24"/>
          <w:szCs w:val="24"/>
          <w:lang w:eastAsia="en-AU"/>
          <w14:ligatures w14:val="none"/>
        </w:rPr>
        <w:t>"Reference Man"</w:t>
      </w:r>
      <w:r w:rsidRPr="007F12F4">
        <w:rPr>
          <w:rFonts w:ascii="Arial" w:eastAsia="Times New Roman" w:hAnsi="Arial" w:cs="Arial"/>
          <w:kern w:val="0"/>
          <w:sz w:val="24"/>
          <w:szCs w:val="24"/>
          <w:lang w:eastAsia="en-AU"/>
          <w14:ligatures w14:val="none"/>
        </w:rPr>
        <w:t>—an average adult male—which fails to account for biological differences. [</w:t>
      </w:r>
      <w:hyperlink r:id="rId8"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2FDE81CD" w14:textId="77777777" w:rsidR="007F12F4" w:rsidRPr="007F12F4" w:rsidRDefault="007F12F4" w:rsidP="007F12F4">
      <w:pPr>
        <w:numPr>
          <w:ilvl w:val="0"/>
          <w:numId w:val="1"/>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Biological Sex and Age:</w:t>
      </w:r>
      <w:r w:rsidRPr="007F12F4">
        <w:rPr>
          <w:rFonts w:ascii="Arial" w:eastAsia="Times New Roman" w:hAnsi="Arial" w:cs="Arial"/>
          <w:kern w:val="0"/>
          <w:sz w:val="24"/>
          <w:szCs w:val="24"/>
          <w:lang w:eastAsia="en-AU"/>
          <w14:ligatures w14:val="none"/>
        </w:rPr>
        <w:t xml:space="preserve"> Research published in bodies like the </w:t>
      </w:r>
      <w:hyperlink r:id="rId9" w:tgtFrame="_blank" w:history="1">
        <w:r w:rsidRPr="007F12F4">
          <w:rPr>
            <w:rFonts w:ascii="Arial" w:eastAsia="Times New Roman" w:hAnsi="Arial" w:cs="Arial"/>
            <w:i/>
            <w:iCs/>
            <w:color w:val="0000FF"/>
            <w:kern w:val="0"/>
            <w:sz w:val="24"/>
            <w:szCs w:val="24"/>
            <w:u w:val="single"/>
            <w:lang w:eastAsia="en-AU"/>
            <w14:ligatures w14:val="none"/>
          </w:rPr>
          <w:t>European Society of Medicine</w:t>
        </w:r>
      </w:hyperlink>
      <w:r w:rsidRPr="007F12F4">
        <w:rPr>
          <w:rFonts w:ascii="Arial" w:eastAsia="Times New Roman" w:hAnsi="Arial" w:cs="Arial"/>
          <w:kern w:val="0"/>
          <w:sz w:val="24"/>
          <w:szCs w:val="24"/>
          <w:lang w:eastAsia="en-AU"/>
          <w14:ligatures w14:val="none"/>
        </w:rPr>
        <w:t xml:space="preserve"> highlights that </w:t>
      </w:r>
      <w:r w:rsidRPr="007F12F4">
        <w:rPr>
          <w:rFonts w:ascii="Arial" w:eastAsia="Times New Roman" w:hAnsi="Arial" w:cs="Arial"/>
          <w:b/>
          <w:bCs/>
          <w:kern w:val="0"/>
          <w:sz w:val="24"/>
          <w:szCs w:val="24"/>
          <w:lang w:eastAsia="en-AU"/>
          <w14:ligatures w14:val="none"/>
        </w:rPr>
        <w:t>females are harmed significantly more by radiation across every age group</w:t>
      </w:r>
      <w:r w:rsidRPr="007F12F4">
        <w:rPr>
          <w:rFonts w:ascii="Arial" w:eastAsia="Times New Roman" w:hAnsi="Arial" w:cs="Arial"/>
          <w:kern w:val="0"/>
          <w:sz w:val="24"/>
          <w:szCs w:val="24"/>
          <w:lang w:eastAsia="en-AU"/>
          <w14:ligatures w14:val="none"/>
        </w:rPr>
        <w:t xml:space="preserve"> than males. This susceptibility is highest in young girls and children. [</w:t>
      </w:r>
      <w:hyperlink r:id="rId10"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11"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06265FA8" w14:textId="77777777" w:rsidR="007F12F4" w:rsidRPr="007F12F4" w:rsidRDefault="007F12F4" w:rsidP="007F12F4">
      <w:pPr>
        <w:numPr>
          <w:ilvl w:val="0"/>
          <w:numId w:val="1"/>
        </w:numPr>
        <w:spacing w:after="0" w:line="240" w:lineRule="auto"/>
        <w:rPr>
          <w:rFonts w:ascii="Arial" w:eastAsia="Times New Roman" w:hAnsi="Arial" w:cs="Arial"/>
          <w:kern w:val="0"/>
          <w:sz w:val="24"/>
          <w:szCs w:val="24"/>
          <w:lang w:eastAsia="en-AU"/>
          <w14:ligatures w14:val="none"/>
        </w:rPr>
      </w:pPr>
      <w:proofErr w:type="spellStart"/>
      <w:r w:rsidRPr="007F12F4">
        <w:rPr>
          <w:rFonts w:ascii="Arial" w:eastAsia="Times New Roman" w:hAnsi="Arial" w:cs="Arial"/>
          <w:b/>
          <w:bCs/>
          <w:kern w:val="0"/>
          <w:sz w:val="24"/>
          <w:szCs w:val="24"/>
          <w:lang w:eastAsia="en-AU"/>
          <w14:ligatures w14:val="none"/>
        </w:rPr>
        <w:t>Pediatric</w:t>
      </w:r>
      <w:proofErr w:type="spellEnd"/>
      <w:r w:rsidRPr="007F12F4">
        <w:rPr>
          <w:rFonts w:ascii="Arial" w:eastAsia="Times New Roman" w:hAnsi="Arial" w:cs="Arial"/>
          <w:b/>
          <w:bCs/>
          <w:kern w:val="0"/>
          <w:sz w:val="24"/>
          <w:szCs w:val="24"/>
          <w:lang w:eastAsia="en-AU"/>
          <w14:ligatures w14:val="none"/>
        </w:rPr>
        <w:t xml:space="preserve"> and </w:t>
      </w:r>
      <w:proofErr w:type="spellStart"/>
      <w:r w:rsidRPr="007F12F4">
        <w:rPr>
          <w:rFonts w:ascii="Arial" w:eastAsia="Times New Roman" w:hAnsi="Arial" w:cs="Arial"/>
          <w:b/>
          <w:bCs/>
          <w:kern w:val="0"/>
          <w:sz w:val="24"/>
          <w:szCs w:val="24"/>
          <w:lang w:eastAsia="en-AU"/>
          <w14:ligatures w14:val="none"/>
        </w:rPr>
        <w:t>Fetal</w:t>
      </w:r>
      <w:proofErr w:type="spellEnd"/>
      <w:r w:rsidRPr="007F12F4">
        <w:rPr>
          <w:rFonts w:ascii="Arial" w:eastAsia="Times New Roman" w:hAnsi="Arial" w:cs="Arial"/>
          <w:b/>
          <w:bCs/>
          <w:kern w:val="0"/>
          <w:sz w:val="24"/>
          <w:szCs w:val="24"/>
          <w:lang w:eastAsia="en-AU"/>
          <w14:ligatures w14:val="none"/>
        </w:rPr>
        <w:t xml:space="preserve"> Risks:</w:t>
      </w:r>
      <w:r w:rsidRPr="007F12F4">
        <w:rPr>
          <w:rFonts w:ascii="Arial" w:eastAsia="Times New Roman" w:hAnsi="Arial" w:cs="Arial"/>
          <w:kern w:val="0"/>
          <w:sz w:val="24"/>
          <w:szCs w:val="24"/>
          <w:lang w:eastAsia="en-AU"/>
          <w14:ligatures w14:val="none"/>
        </w:rPr>
        <w:t xml:space="preserve"> Recent epidemiological studies focusing on medical imaging (like </w:t>
      </w:r>
      <w:proofErr w:type="spellStart"/>
      <w:r w:rsidRPr="007F12F4">
        <w:rPr>
          <w:rFonts w:ascii="Arial" w:eastAsia="Times New Roman" w:hAnsi="Arial" w:cs="Arial"/>
          <w:kern w:val="0"/>
          <w:sz w:val="24"/>
          <w:szCs w:val="24"/>
          <w:lang w:eastAsia="en-AU"/>
          <w14:ligatures w14:val="none"/>
        </w:rPr>
        <w:t>pediatric</w:t>
      </w:r>
      <w:proofErr w:type="spellEnd"/>
      <w:r w:rsidRPr="007F12F4">
        <w:rPr>
          <w:rFonts w:ascii="Arial" w:eastAsia="Times New Roman" w:hAnsi="Arial" w:cs="Arial"/>
          <w:kern w:val="0"/>
          <w:sz w:val="24"/>
          <w:szCs w:val="24"/>
          <w:lang w:eastAsia="en-AU"/>
          <w14:ligatures w14:val="none"/>
        </w:rPr>
        <w:t xml:space="preserve"> CT scans) indicate that </w:t>
      </w:r>
      <w:r w:rsidRPr="007F12F4">
        <w:rPr>
          <w:rFonts w:ascii="Arial" w:eastAsia="Times New Roman" w:hAnsi="Arial" w:cs="Arial"/>
          <w:b/>
          <w:bCs/>
          <w:kern w:val="0"/>
          <w:sz w:val="24"/>
          <w:szCs w:val="24"/>
          <w:lang w:eastAsia="en-AU"/>
          <w14:ligatures w14:val="none"/>
        </w:rPr>
        <w:t>cancer risks can elevate at lower doses</w:t>
      </w:r>
      <w:r w:rsidRPr="007F12F4">
        <w:rPr>
          <w:rFonts w:ascii="Arial" w:eastAsia="Times New Roman" w:hAnsi="Arial" w:cs="Arial"/>
          <w:kern w:val="0"/>
          <w:sz w:val="24"/>
          <w:szCs w:val="24"/>
          <w:lang w:eastAsia="en-AU"/>
          <w14:ligatures w14:val="none"/>
        </w:rPr>
        <w:t xml:space="preserve"> (between 50–100 mSv) than previously recognized for adults. Because children have rapidly dividing cells and a longer lifespan ahead, the long-term impact of low-level exposure is disproportionately high. [</w:t>
      </w:r>
      <w:hyperlink r:id="rId12"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09305CC4"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2. Multi-Generational and Genetic Impacts</w:t>
      </w:r>
    </w:p>
    <w:p w14:paraId="1F638F8A"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The concern for future generations stems from </w:t>
      </w:r>
      <w:r w:rsidRPr="007F12F4">
        <w:rPr>
          <w:rFonts w:ascii="Arial" w:eastAsia="Times New Roman" w:hAnsi="Arial" w:cs="Arial"/>
          <w:b/>
          <w:bCs/>
          <w:kern w:val="0"/>
          <w:sz w:val="24"/>
          <w:szCs w:val="24"/>
          <w:lang w:eastAsia="en-AU"/>
          <w14:ligatures w14:val="none"/>
        </w:rPr>
        <w:t>heritable genetic damage</w:t>
      </w:r>
      <w:r w:rsidRPr="007F12F4">
        <w:rPr>
          <w:rFonts w:ascii="Arial" w:eastAsia="Times New Roman" w:hAnsi="Arial" w:cs="Arial"/>
          <w:kern w:val="0"/>
          <w:sz w:val="24"/>
          <w:szCs w:val="24"/>
          <w:lang w:eastAsia="en-AU"/>
          <w14:ligatures w14:val="none"/>
        </w:rPr>
        <w:t xml:space="preserve"> and epigenetic changes. [</w:t>
      </w:r>
      <w:hyperlink r:id="rId13"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49866DC9" w14:textId="77777777" w:rsidR="007F12F4" w:rsidRPr="007F12F4" w:rsidRDefault="007F12F4" w:rsidP="007F12F4">
      <w:pPr>
        <w:numPr>
          <w:ilvl w:val="0"/>
          <w:numId w:val="2"/>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Radiation exposure can induce </w:t>
      </w:r>
      <w:r w:rsidRPr="007F12F4">
        <w:rPr>
          <w:rFonts w:ascii="Arial" w:eastAsia="Times New Roman" w:hAnsi="Arial" w:cs="Arial"/>
          <w:b/>
          <w:bCs/>
          <w:kern w:val="0"/>
          <w:sz w:val="24"/>
          <w:szCs w:val="24"/>
          <w:lang w:eastAsia="en-AU"/>
          <w14:ligatures w14:val="none"/>
        </w:rPr>
        <w:t>chromosomal aberrations</w:t>
      </w:r>
      <w:r w:rsidRPr="007F12F4">
        <w:rPr>
          <w:rFonts w:ascii="Arial" w:eastAsia="Times New Roman" w:hAnsi="Arial" w:cs="Arial"/>
          <w:kern w:val="0"/>
          <w:sz w:val="24"/>
          <w:szCs w:val="24"/>
          <w:lang w:eastAsia="en-AU"/>
          <w14:ligatures w14:val="none"/>
        </w:rPr>
        <w:t xml:space="preserve"> and mutations in germ cells (sperm and egg), potentially impacting the health of offspring. [</w:t>
      </w:r>
      <w:hyperlink r:id="rId14"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15"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452E8AE4" w14:textId="77777777" w:rsidR="007F12F4" w:rsidRPr="007F12F4" w:rsidRDefault="007F12F4" w:rsidP="007F12F4">
      <w:pPr>
        <w:numPr>
          <w:ilvl w:val="0"/>
          <w:numId w:val="2"/>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Advancements in genomic sequencing have led researchers to argue that current occupational and public exposure limits do not fully factor in the subtle, non-cancer genetic vulnerabilities that could accumulate over generations. [</w:t>
      </w:r>
      <w:hyperlink r:id="rId16"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17"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2593229F"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3. Non-Cancer Health Risks (Cardiovascular &amp; Metabolic)</w:t>
      </w:r>
    </w:p>
    <w:p w14:paraId="18A406C7"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Historically, safety standards focused almost exclusively on preventing cancer. However, modern medical research shows that low-level radiation impacts other critical biological systems: [</w:t>
      </w:r>
      <w:hyperlink r:id="rId18"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19"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 xml:space="preserve">, </w:t>
      </w:r>
      <w:hyperlink r:id="rId20" w:history="1">
        <w:r w:rsidRPr="007F12F4">
          <w:rPr>
            <w:rFonts w:ascii="Arial" w:eastAsia="Times New Roman" w:hAnsi="Arial" w:cs="Arial"/>
            <w:color w:val="0000FF"/>
            <w:kern w:val="0"/>
            <w:sz w:val="24"/>
            <w:szCs w:val="24"/>
            <w:u w:val="single"/>
            <w:lang w:eastAsia="en-AU"/>
            <w14:ligatures w14:val="none"/>
          </w:rPr>
          <w:t>3</w:t>
        </w:r>
      </w:hyperlink>
      <w:r w:rsidRPr="007F12F4">
        <w:rPr>
          <w:rFonts w:ascii="Arial" w:eastAsia="Times New Roman" w:hAnsi="Arial" w:cs="Arial"/>
          <w:kern w:val="0"/>
          <w:sz w:val="24"/>
          <w:szCs w:val="24"/>
          <w:lang w:eastAsia="en-AU"/>
          <w14:ligatures w14:val="none"/>
        </w:rPr>
        <w:t xml:space="preserve">, </w:t>
      </w:r>
      <w:hyperlink r:id="rId21" w:history="1">
        <w:r w:rsidRPr="007F12F4">
          <w:rPr>
            <w:rFonts w:ascii="Arial" w:eastAsia="Times New Roman" w:hAnsi="Arial" w:cs="Arial"/>
            <w:color w:val="0000FF"/>
            <w:kern w:val="0"/>
            <w:sz w:val="24"/>
            <w:szCs w:val="24"/>
            <w:u w:val="single"/>
            <w:lang w:eastAsia="en-AU"/>
            <w14:ligatures w14:val="none"/>
          </w:rPr>
          <w:t>4</w:t>
        </w:r>
      </w:hyperlink>
      <w:r w:rsidRPr="007F12F4">
        <w:rPr>
          <w:rFonts w:ascii="Arial" w:eastAsia="Times New Roman" w:hAnsi="Arial" w:cs="Arial"/>
          <w:kern w:val="0"/>
          <w:sz w:val="24"/>
          <w:szCs w:val="24"/>
          <w:lang w:eastAsia="en-AU"/>
          <w14:ligatures w14:val="none"/>
        </w:rPr>
        <w:t>]</w:t>
      </w:r>
    </w:p>
    <w:p w14:paraId="67A4D20A" w14:textId="77777777" w:rsidR="007F12F4" w:rsidRPr="007F12F4" w:rsidRDefault="007F12F4" w:rsidP="007F12F4">
      <w:pPr>
        <w:numPr>
          <w:ilvl w:val="0"/>
          <w:numId w:val="3"/>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Insulin Resistance:</w:t>
      </w:r>
      <w:r w:rsidRPr="007F12F4">
        <w:rPr>
          <w:rFonts w:ascii="Arial" w:eastAsia="Times New Roman" w:hAnsi="Arial" w:cs="Arial"/>
          <w:kern w:val="0"/>
          <w:sz w:val="24"/>
          <w:szCs w:val="24"/>
          <w:lang w:eastAsia="en-AU"/>
          <w14:ligatures w14:val="none"/>
        </w:rPr>
        <w:t xml:space="preserve"> A 2026 study published in </w:t>
      </w:r>
      <w:hyperlink r:id="rId22" w:tgtFrame="_blank" w:history="1">
        <w:r w:rsidRPr="007F12F4">
          <w:rPr>
            <w:rFonts w:ascii="Arial" w:eastAsia="Times New Roman" w:hAnsi="Arial" w:cs="Arial"/>
            <w:i/>
            <w:iCs/>
            <w:color w:val="0000FF"/>
            <w:kern w:val="0"/>
            <w:sz w:val="24"/>
            <w:szCs w:val="24"/>
            <w:lang w:eastAsia="en-AU"/>
            <w14:ligatures w14:val="none"/>
          </w:rPr>
          <w:t>Diabetes Care</w:t>
        </w:r>
      </w:hyperlink>
      <w:r w:rsidRPr="007F12F4">
        <w:rPr>
          <w:rFonts w:ascii="Arial" w:eastAsia="Times New Roman" w:hAnsi="Arial" w:cs="Arial"/>
          <w:kern w:val="0"/>
          <w:sz w:val="24"/>
          <w:szCs w:val="24"/>
          <w:lang w:eastAsia="en-AU"/>
          <w14:ligatures w14:val="none"/>
        </w:rPr>
        <w:t xml:space="preserve"> demonstrates that radiation exposure contributes to </w:t>
      </w:r>
      <w:r w:rsidRPr="007F12F4">
        <w:rPr>
          <w:rFonts w:ascii="Arial" w:eastAsia="Times New Roman" w:hAnsi="Arial" w:cs="Arial"/>
          <w:b/>
          <w:bCs/>
          <w:kern w:val="0"/>
          <w:sz w:val="24"/>
          <w:szCs w:val="24"/>
          <w:lang w:eastAsia="en-AU"/>
          <w14:ligatures w14:val="none"/>
        </w:rPr>
        <w:t>insulin resistance in adipose (fat) tissue</w:t>
      </w:r>
      <w:r w:rsidRPr="007F12F4">
        <w:rPr>
          <w:rFonts w:ascii="Arial" w:eastAsia="Times New Roman" w:hAnsi="Arial" w:cs="Arial"/>
          <w:kern w:val="0"/>
          <w:sz w:val="24"/>
          <w:szCs w:val="24"/>
          <w:lang w:eastAsia="en-AU"/>
          <w14:ligatures w14:val="none"/>
        </w:rPr>
        <w:t>, which acts as a primary trigger for type 2 diabetes and cardiovascular disease.</w:t>
      </w:r>
    </w:p>
    <w:p w14:paraId="391AA9FE" w14:textId="77777777" w:rsidR="007F12F4" w:rsidRPr="007F12F4" w:rsidRDefault="007F12F4" w:rsidP="007F12F4">
      <w:pPr>
        <w:numPr>
          <w:ilvl w:val="0"/>
          <w:numId w:val="3"/>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Circulatory Diseases:</w:t>
      </w:r>
      <w:r w:rsidRPr="007F12F4">
        <w:rPr>
          <w:rFonts w:ascii="Arial" w:eastAsia="Times New Roman" w:hAnsi="Arial" w:cs="Arial"/>
          <w:kern w:val="0"/>
          <w:sz w:val="24"/>
          <w:szCs w:val="24"/>
          <w:lang w:eastAsia="en-AU"/>
          <w14:ligatures w14:val="none"/>
        </w:rPr>
        <w:t xml:space="preserve"> Long-term data tracking cohorts from nuclear workers and medical patients show an increased risk of circulatory and heart diseases at lower thresholds than previously assumed. [</w:t>
      </w:r>
      <w:hyperlink r:id="rId23"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24"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4EF83F60"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4. The "Supra-Linear" Risk Model</w:t>
      </w:r>
    </w:p>
    <w:p w14:paraId="24A4385E"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Some radiobiologists advocate for a </w:t>
      </w:r>
      <w:r w:rsidRPr="007F12F4">
        <w:rPr>
          <w:rFonts w:ascii="Arial" w:eastAsia="Times New Roman" w:hAnsi="Arial" w:cs="Arial"/>
          <w:b/>
          <w:bCs/>
          <w:kern w:val="0"/>
          <w:sz w:val="24"/>
          <w:szCs w:val="24"/>
          <w:lang w:eastAsia="en-AU"/>
          <w14:ligatures w14:val="none"/>
        </w:rPr>
        <w:t>Supra-linear model</w:t>
      </w:r>
      <w:r w:rsidRPr="007F12F4">
        <w:rPr>
          <w:rFonts w:ascii="Arial" w:eastAsia="Times New Roman" w:hAnsi="Arial" w:cs="Arial"/>
          <w:kern w:val="0"/>
          <w:sz w:val="24"/>
          <w:szCs w:val="24"/>
          <w:lang w:eastAsia="en-AU"/>
          <w14:ligatures w14:val="none"/>
        </w:rPr>
        <w:t xml:space="preserve"> of radiation risk. This model suggests that </w:t>
      </w:r>
      <w:r w:rsidRPr="007F12F4">
        <w:rPr>
          <w:rFonts w:ascii="Arial" w:eastAsia="Times New Roman" w:hAnsi="Arial" w:cs="Arial"/>
          <w:b/>
          <w:bCs/>
          <w:kern w:val="0"/>
          <w:sz w:val="24"/>
          <w:szCs w:val="24"/>
          <w:lang w:eastAsia="en-AU"/>
          <w14:ligatures w14:val="none"/>
        </w:rPr>
        <w:t>at extremely low doses, the risk of cellular damage and subsequent cancer may actually exceed what the LNT model predicts</w:t>
      </w:r>
      <w:r w:rsidRPr="007F12F4">
        <w:rPr>
          <w:rFonts w:ascii="Arial" w:eastAsia="Times New Roman" w:hAnsi="Arial" w:cs="Arial"/>
          <w:kern w:val="0"/>
          <w:sz w:val="24"/>
          <w:szCs w:val="24"/>
          <w:lang w:eastAsia="en-AU"/>
          <w14:ligatures w14:val="none"/>
        </w:rPr>
        <w:t xml:space="preserve">. The </w:t>
      </w:r>
      <w:r w:rsidRPr="007F12F4">
        <w:rPr>
          <w:rFonts w:ascii="Arial" w:eastAsia="Times New Roman" w:hAnsi="Arial" w:cs="Arial"/>
          <w:kern w:val="0"/>
          <w:sz w:val="24"/>
          <w:szCs w:val="24"/>
          <w:lang w:eastAsia="en-AU"/>
          <w14:ligatures w14:val="none"/>
        </w:rPr>
        <w:lastRenderedPageBreak/>
        <w:t>hypothesis is that very low doses may fail to trigger the body's natural cellular repair mechanisms or programmed cell death (apoptosis), leaving damaged cells alive to replicate. [</w:t>
      </w:r>
      <w:hyperlink r:id="rId25"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26"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4B13369B" w14:textId="77777777" w:rsidR="007F12F4" w:rsidRPr="007F12F4" w:rsidRDefault="007F12F4" w:rsidP="007F12F4">
      <w:pPr>
        <w:spacing w:before="480" w:after="480" w:line="240" w:lineRule="auto"/>
        <w:rPr>
          <w:rFonts w:ascii="Arial" w:eastAsia="Times New Roman" w:hAnsi="Arial" w:cs="Arial"/>
          <w:kern w:val="0"/>
          <w:sz w:val="21"/>
          <w:szCs w:val="21"/>
          <w:lang w:eastAsia="en-AU"/>
          <w14:ligatures w14:val="none"/>
        </w:rPr>
      </w:pPr>
      <w:r w:rsidRPr="007F12F4">
        <w:rPr>
          <w:rFonts w:ascii="Times New Roman" w:eastAsia="Times New Roman" w:hAnsi="Times New Roman" w:cs="Times New Roman"/>
          <w:kern w:val="0"/>
          <w:sz w:val="24"/>
          <w:szCs w:val="24"/>
          <w:lang w:eastAsia="en-AU"/>
          <w14:ligatures w14:val="none"/>
        </w:rPr>
        <w:pict w14:anchorId="7B4D8D52">
          <v:rect id="_x0000_i1025" style="width:0;height:1.5pt" o:hralign="center" o:hrstd="t" o:hr="t" fillcolor="#a0a0a0" stroked="f"/>
        </w:pict>
      </w:r>
    </w:p>
    <w:p w14:paraId="345782D7"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Electromagnetic Hypersensitivity (EHS)</w:t>
      </w:r>
      <w:r w:rsidRPr="007F12F4">
        <w:rPr>
          <w:rFonts w:ascii="Arial" w:eastAsia="Times New Roman" w:hAnsi="Arial" w:cs="Arial"/>
          <w:kern w:val="0"/>
          <w:sz w:val="24"/>
          <w:szCs w:val="24"/>
          <w:lang w:eastAsia="en-AU"/>
          <w14:ligatures w14:val="none"/>
        </w:rPr>
        <w:t xml:space="preserve">—medically referred to by the </w:t>
      </w:r>
      <w:hyperlink r:id="rId27" w:tgtFrame="_blank" w:history="1">
        <w:r w:rsidRPr="007F12F4">
          <w:rPr>
            <w:rFonts w:ascii="Arial" w:eastAsia="Times New Roman" w:hAnsi="Arial" w:cs="Arial"/>
            <w:color w:val="0000FF"/>
            <w:kern w:val="0"/>
            <w:sz w:val="24"/>
            <w:szCs w:val="24"/>
            <w:u w:val="single"/>
            <w:lang w:eastAsia="en-AU"/>
            <w14:ligatures w14:val="none"/>
          </w:rPr>
          <w:t>World Health Organization (WHO)</w:t>
        </w:r>
      </w:hyperlink>
      <w:r w:rsidRPr="007F12F4">
        <w:rPr>
          <w:rFonts w:ascii="Arial" w:eastAsia="Times New Roman" w:hAnsi="Arial" w:cs="Arial"/>
          <w:kern w:val="0"/>
          <w:sz w:val="24"/>
          <w:szCs w:val="24"/>
          <w:lang w:eastAsia="en-AU"/>
          <w14:ligatures w14:val="none"/>
        </w:rPr>
        <w:t xml:space="preserve"> as </w:t>
      </w:r>
      <w:r w:rsidRPr="007F12F4">
        <w:rPr>
          <w:rFonts w:ascii="Arial" w:eastAsia="Times New Roman" w:hAnsi="Arial" w:cs="Arial"/>
          <w:b/>
          <w:bCs/>
          <w:kern w:val="0"/>
          <w:sz w:val="24"/>
          <w:szCs w:val="24"/>
          <w:lang w:eastAsia="en-AU"/>
          <w14:ligatures w14:val="none"/>
        </w:rPr>
        <w:t>Idiopathic Environmental Intolerance attributed to Electromagnetic Fields (IEI-EMF)</w:t>
      </w:r>
      <w:r w:rsidRPr="007F12F4">
        <w:rPr>
          <w:rFonts w:ascii="Arial" w:eastAsia="Times New Roman" w:hAnsi="Arial" w:cs="Arial"/>
          <w:kern w:val="0"/>
          <w:sz w:val="24"/>
          <w:szCs w:val="24"/>
          <w:lang w:eastAsia="en-AU"/>
          <w14:ligatures w14:val="none"/>
        </w:rPr>
        <w:t>—is a condition where individuals experience an array of non-specific, adverse health symptoms that they attribute to low-level anthropogenic electromagnetic fields (EMF). [</w:t>
      </w:r>
      <w:hyperlink r:id="rId28"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29"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1C433638"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While the medical and regulatory communities remain deeply divided over whether man-made EMF is the </w:t>
      </w:r>
      <w:r w:rsidRPr="007F12F4">
        <w:rPr>
          <w:rFonts w:ascii="Arial" w:eastAsia="Times New Roman" w:hAnsi="Arial" w:cs="Arial"/>
          <w:i/>
          <w:iCs/>
          <w:kern w:val="0"/>
          <w:sz w:val="24"/>
          <w:szCs w:val="24"/>
          <w:lang w:eastAsia="en-AU"/>
          <w14:ligatures w14:val="none"/>
        </w:rPr>
        <w:t>causal agent</w:t>
      </w:r>
      <w:r w:rsidRPr="007F12F4">
        <w:rPr>
          <w:rFonts w:ascii="Arial" w:eastAsia="Times New Roman" w:hAnsi="Arial" w:cs="Arial"/>
          <w:kern w:val="0"/>
          <w:sz w:val="24"/>
          <w:szCs w:val="24"/>
          <w:lang w:eastAsia="en-AU"/>
          <w14:ligatures w14:val="none"/>
        </w:rPr>
        <w:t xml:space="preserve"> of these symptoms, there is universal agreement that </w:t>
      </w:r>
      <w:r w:rsidRPr="007F12F4">
        <w:rPr>
          <w:rFonts w:ascii="Arial" w:eastAsia="Times New Roman" w:hAnsi="Arial" w:cs="Arial"/>
          <w:b/>
          <w:bCs/>
          <w:kern w:val="0"/>
          <w:sz w:val="24"/>
          <w:szCs w:val="24"/>
          <w:lang w:eastAsia="en-AU"/>
          <w14:ligatures w14:val="none"/>
        </w:rPr>
        <w:t>the physical suffering and lifestyle disruptions experienced by those with EHS are real and can be profoundly disabling</w:t>
      </w:r>
      <w:r w:rsidRPr="007F12F4">
        <w:rPr>
          <w:rFonts w:ascii="Arial" w:eastAsia="Times New Roman" w:hAnsi="Arial" w:cs="Arial"/>
          <w:kern w:val="0"/>
          <w:sz w:val="24"/>
          <w:szCs w:val="24"/>
          <w:lang w:eastAsia="en-AU"/>
          <w14:ligatures w14:val="none"/>
        </w:rPr>
        <w:t>. [</w:t>
      </w:r>
      <w:hyperlink r:id="rId30"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5983BA17"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The potential dangers and impacts on sensitive individuals are structured around two distinct perspectives: the biological framework asserted by advocates and independent researchers, and the clinical/psychosomatic framework recognized by global health authorities.</w:t>
      </w:r>
    </w:p>
    <w:p w14:paraId="2D86E397" w14:textId="77777777" w:rsidR="007F12F4" w:rsidRPr="007F12F4" w:rsidRDefault="007F12F4" w:rsidP="007F12F4">
      <w:pPr>
        <w:spacing w:before="480" w:after="480" w:line="240" w:lineRule="auto"/>
        <w:rPr>
          <w:rFonts w:ascii="Arial" w:eastAsia="Times New Roman" w:hAnsi="Arial" w:cs="Arial"/>
          <w:kern w:val="0"/>
          <w:sz w:val="21"/>
          <w:szCs w:val="21"/>
          <w:lang w:eastAsia="en-AU"/>
          <w14:ligatures w14:val="none"/>
        </w:rPr>
      </w:pPr>
      <w:r w:rsidRPr="007F12F4">
        <w:rPr>
          <w:rFonts w:ascii="Times New Roman" w:eastAsia="Times New Roman" w:hAnsi="Times New Roman" w:cs="Times New Roman"/>
          <w:kern w:val="0"/>
          <w:sz w:val="24"/>
          <w:szCs w:val="24"/>
          <w:lang w:eastAsia="en-AU"/>
          <w14:ligatures w14:val="none"/>
        </w:rPr>
        <w:pict w14:anchorId="54B16409">
          <v:rect id="_x0000_i1027" style="width:0;height:1.5pt" o:hralign="center" o:hrstd="t" o:hr="t" fillcolor="#a0a0a0" stroked="f"/>
        </w:pict>
      </w:r>
    </w:p>
    <w:p w14:paraId="2AD5EC87"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1. The Perceived Biological and Physiological Impacts</w:t>
      </w:r>
    </w:p>
    <w:p w14:paraId="6BDFB442"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Advocates and independent researchers (such as those represented in the </w:t>
      </w:r>
      <w:r w:rsidRPr="007F12F4">
        <w:rPr>
          <w:rFonts w:ascii="Arial" w:eastAsia="Times New Roman" w:hAnsi="Arial" w:cs="Arial"/>
          <w:i/>
          <w:iCs/>
          <w:kern w:val="0"/>
          <w:sz w:val="24"/>
          <w:szCs w:val="24"/>
          <w:lang w:eastAsia="en-AU"/>
          <w14:ligatures w14:val="none"/>
        </w:rPr>
        <w:t>Scientific Consensus International Report</w:t>
      </w:r>
      <w:r w:rsidRPr="007F12F4">
        <w:rPr>
          <w:rFonts w:ascii="Arial" w:eastAsia="Times New Roman" w:hAnsi="Arial" w:cs="Arial"/>
          <w:kern w:val="0"/>
          <w:sz w:val="24"/>
          <w:szCs w:val="24"/>
          <w:lang w:eastAsia="en-AU"/>
          <w14:ligatures w14:val="none"/>
        </w:rPr>
        <w:t>) argue that EHS individuals possess heightened biological vulnerabilities—potentially due to genetic variations, autonomic nervous system tone, or a lower threshold for cellular stress. Under this model, the chronic dangers include: [</w:t>
      </w:r>
      <w:hyperlink r:id="rId31"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0013312E" w14:textId="77777777" w:rsidR="007F12F4" w:rsidRPr="007F12F4" w:rsidRDefault="007F12F4" w:rsidP="007F12F4">
      <w:pPr>
        <w:numPr>
          <w:ilvl w:val="0"/>
          <w:numId w:val="4"/>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Neurological Disturbances:</w:t>
      </w:r>
      <w:r w:rsidRPr="007F12F4">
        <w:rPr>
          <w:rFonts w:ascii="Arial" w:eastAsia="Times New Roman" w:hAnsi="Arial" w:cs="Arial"/>
          <w:kern w:val="0"/>
          <w:sz w:val="24"/>
          <w:szCs w:val="24"/>
          <w:lang w:eastAsia="en-AU"/>
          <w14:ligatures w14:val="none"/>
        </w:rPr>
        <w:t xml:space="preserve"> Sufferers frequently report acute headaches, severe "brain fog," memory loss, and a lack of concentration. Some researchers hypothesize that this stems from low-level EMF causing micro-disruptions in the blood-brain barrier or altering neural activity. [</w:t>
      </w:r>
      <w:hyperlink r:id="rId32"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33"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 xml:space="preserve">, </w:t>
      </w:r>
      <w:hyperlink r:id="rId34" w:history="1">
        <w:r w:rsidRPr="007F12F4">
          <w:rPr>
            <w:rFonts w:ascii="Arial" w:eastAsia="Times New Roman" w:hAnsi="Arial" w:cs="Arial"/>
            <w:color w:val="0000FF"/>
            <w:kern w:val="0"/>
            <w:sz w:val="24"/>
            <w:szCs w:val="24"/>
            <w:u w:val="single"/>
            <w:lang w:eastAsia="en-AU"/>
            <w14:ligatures w14:val="none"/>
          </w:rPr>
          <w:t>3</w:t>
        </w:r>
      </w:hyperlink>
      <w:r w:rsidRPr="007F12F4">
        <w:rPr>
          <w:rFonts w:ascii="Arial" w:eastAsia="Times New Roman" w:hAnsi="Arial" w:cs="Arial"/>
          <w:kern w:val="0"/>
          <w:sz w:val="24"/>
          <w:szCs w:val="24"/>
          <w:lang w:eastAsia="en-AU"/>
          <w14:ligatures w14:val="none"/>
        </w:rPr>
        <w:t>]</w:t>
      </w:r>
    </w:p>
    <w:p w14:paraId="7B526615" w14:textId="77777777" w:rsidR="007F12F4" w:rsidRPr="007F12F4" w:rsidRDefault="007F12F4" w:rsidP="007F12F4">
      <w:pPr>
        <w:numPr>
          <w:ilvl w:val="0"/>
          <w:numId w:val="4"/>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Sleep and Circadian Disruption:</w:t>
      </w:r>
      <w:r w:rsidRPr="007F12F4">
        <w:rPr>
          <w:rFonts w:ascii="Arial" w:eastAsia="Times New Roman" w:hAnsi="Arial" w:cs="Arial"/>
          <w:kern w:val="0"/>
          <w:sz w:val="24"/>
          <w:szCs w:val="24"/>
          <w:lang w:eastAsia="en-AU"/>
          <w14:ligatures w14:val="none"/>
        </w:rPr>
        <w:t xml:space="preserve"> Profound insomnia and fragmented sleep patterns are among the most common complaints. Sufferers link this to EMF suppressing the pineal gland's production of </w:t>
      </w:r>
      <w:r w:rsidRPr="007F12F4">
        <w:rPr>
          <w:rFonts w:ascii="Arial" w:eastAsia="Times New Roman" w:hAnsi="Arial" w:cs="Arial"/>
          <w:b/>
          <w:bCs/>
          <w:kern w:val="0"/>
          <w:sz w:val="24"/>
          <w:szCs w:val="24"/>
          <w:lang w:eastAsia="en-AU"/>
          <w14:ligatures w14:val="none"/>
        </w:rPr>
        <w:t>melatonin</w:t>
      </w:r>
      <w:r w:rsidRPr="007F12F4">
        <w:rPr>
          <w:rFonts w:ascii="Arial" w:eastAsia="Times New Roman" w:hAnsi="Arial" w:cs="Arial"/>
          <w:kern w:val="0"/>
          <w:sz w:val="24"/>
          <w:szCs w:val="24"/>
          <w:lang w:eastAsia="en-AU"/>
          <w14:ligatures w14:val="none"/>
        </w:rPr>
        <w:t>, which can trigger chronic fatigue, immune vulnerability, and mood disorders over time. [</w:t>
      </w:r>
      <w:hyperlink r:id="rId35"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36"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 xml:space="preserve">, </w:t>
      </w:r>
      <w:hyperlink r:id="rId37" w:history="1">
        <w:r w:rsidRPr="007F12F4">
          <w:rPr>
            <w:rFonts w:ascii="Arial" w:eastAsia="Times New Roman" w:hAnsi="Arial" w:cs="Arial"/>
            <w:color w:val="0000FF"/>
            <w:kern w:val="0"/>
            <w:sz w:val="24"/>
            <w:szCs w:val="24"/>
            <w:u w:val="single"/>
            <w:lang w:eastAsia="en-AU"/>
            <w14:ligatures w14:val="none"/>
          </w:rPr>
          <w:t>3</w:t>
        </w:r>
      </w:hyperlink>
      <w:r w:rsidRPr="007F12F4">
        <w:rPr>
          <w:rFonts w:ascii="Arial" w:eastAsia="Times New Roman" w:hAnsi="Arial" w:cs="Arial"/>
          <w:kern w:val="0"/>
          <w:sz w:val="24"/>
          <w:szCs w:val="24"/>
          <w:lang w:eastAsia="en-AU"/>
          <w14:ligatures w14:val="none"/>
        </w:rPr>
        <w:t>]</w:t>
      </w:r>
    </w:p>
    <w:p w14:paraId="23233290" w14:textId="77777777" w:rsidR="007F12F4" w:rsidRPr="007F12F4" w:rsidRDefault="007F12F4" w:rsidP="007F12F4">
      <w:pPr>
        <w:numPr>
          <w:ilvl w:val="0"/>
          <w:numId w:val="4"/>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Cardiovascular and Systemic Stress:</w:t>
      </w:r>
      <w:r w:rsidRPr="007F12F4">
        <w:rPr>
          <w:rFonts w:ascii="Arial" w:eastAsia="Times New Roman" w:hAnsi="Arial" w:cs="Arial"/>
          <w:kern w:val="0"/>
          <w:sz w:val="24"/>
          <w:szCs w:val="24"/>
          <w:lang w:eastAsia="en-AU"/>
          <w14:ligatures w14:val="none"/>
        </w:rPr>
        <w:t xml:space="preserve"> Some individuals experience sudden bouts of heart palpitations, transient arrhythmias, or spikes in blood pressure when entering areas with high wireless density (like public Wi-Fi zones). [</w:t>
      </w:r>
      <w:hyperlink r:id="rId38"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39"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1857740A" w14:textId="77777777" w:rsidR="007F12F4" w:rsidRPr="007F12F4" w:rsidRDefault="007F12F4" w:rsidP="007F12F4">
      <w:pPr>
        <w:numPr>
          <w:ilvl w:val="0"/>
          <w:numId w:val="4"/>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Chronic Inflammation &amp; Oxidative Stress:</w:t>
      </w:r>
      <w:r w:rsidRPr="007F12F4">
        <w:rPr>
          <w:rFonts w:ascii="Arial" w:eastAsia="Times New Roman" w:hAnsi="Arial" w:cs="Arial"/>
          <w:kern w:val="0"/>
          <w:sz w:val="24"/>
          <w:szCs w:val="24"/>
          <w:lang w:eastAsia="en-AU"/>
          <w14:ligatures w14:val="none"/>
        </w:rPr>
        <w:t xml:space="preserve"> Emerging literature from environmental medicine bodies suggests that continuous exposure triggers a cascade of </w:t>
      </w:r>
      <w:r w:rsidRPr="007F12F4">
        <w:rPr>
          <w:rFonts w:ascii="Arial" w:eastAsia="Times New Roman" w:hAnsi="Arial" w:cs="Arial"/>
          <w:b/>
          <w:bCs/>
          <w:kern w:val="0"/>
          <w:sz w:val="24"/>
          <w:szCs w:val="24"/>
          <w:lang w:eastAsia="en-AU"/>
          <w14:ligatures w14:val="none"/>
        </w:rPr>
        <w:t>oxidative stress</w:t>
      </w:r>
      <w:r w:rsidRPr="007F12F4">
        <w:rPr>
          <w:rFonts w:ascii="Arial" w:eastAsia="Times New Roman" w:hAnsi="Arial" w:cs="Arial"/>
          <w:kern w:val="0"/>
          <w:sz w:val="24"/>
          <w:szCs w:val="24"/>
          <w:lang w:eastAsia="en-AU"/>
          <w14:ligatures w14:val="none"/>
        </w:rPr>
        <w:t xml:space="preserve"> and chronic cellular inflammation, compounding pre-existing conditions like autoimmune disorders or adrenal fatigue. [</w:t>
      </w:r>
      <w:hyperlink r:id="rId40"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41"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6E0B602C"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2. Severe Psycho-Social and Lifestyle Disruptions</w:t>
      </w:r>
    </w:p>
    <w:p w14:paraId="45756F32"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Whether the root cause is biological or environmental, the real-world dangers to an individual’s life, safety, and socio-economic well-being are severe:</w:t>
      </w:r>
    </w:p>
    <w:p w14:paraId="4537AAB4" w14:textId="77777777" w:rsidR="007F12F4" w:rsidRPr="007F12F4" w:rsidRDefault="007F12F4" w:rsidP="007F12F4">
      <w:pPr>
        <w:numPr>
          <w:ilvl w:val="0"/>
          <w:numId w:val="5"/>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lastRenderedPageBreak/>
        <w:t>Social Isolation and Reclusiveness:</w:t>
      </w:r>
      <w:r w:rsidRPr="007F12F4">
        <w:rPr>
          <w:rFonts w:ascii="Arial" w:eastAsia="Times New Roman" w:hAnsi="Arial" w:cs="Arial"/>
          <w:kern w:val="0"/>
          <w:sz w:val="24"/>
          <w:szCs w:val="24"/>
          <w:lang w:eastAsia="en-AU"/>
          <w14:ligatures w14:val="none"/>
        </w:rPr>
        <w:t xml:space="preserve"> Because modern society relies entirely on wireless infrastructure (cellular networks, smart meters, Wi-Fi), severely affected individuals often engage in extreme avoidance </w:t>
      </w:r>
      <w:proofErr w:type="spellStart"/>
      <w:r w:rsidRPr="007F12F4">
        <w:rPr>
          <w:rFonts w:ascii="Arial" w:eastAsia="Times New Roman" w:hAnsi="Arial" w:cs="Arial"/>
          <w:kern w:val="0"/>
          <w:sz w:val="24"/>
          <w:szCs w:val="24"/>
          <w:lang w:eastAsia="en-AU"/>
          <w14:ligatures w14:val="none"/>
        </w:rPr>
        <w:t>behaviors</w:t>
      </w:r>
      <w:proofErr w:type="spellEnd"/>
      <w:r w:rsidRPr="007F12F4">
        <w:rPr>
          <w:rFonts w:ascii="Arial" w:eastAsia="Times New Roman" w:hAnsi="Arial" w:cs="Arial"/>
          <w:kern w:val="0"/>
          <w:sz w:val="24"/>
          <w:szCs w:val="24"/>
          <w:lang w:eastAsia="en-AU"/>
          <w14:ligatures w14:val="none"/>
        </w:rPr>
        <w:t>. Some resort to wearing EMF-shielding fabrics, while others completely isolate themselves in rural areas, caves, or deep forests.</w:t>
      </w:r>
    </w:p>
    <w:p w14:paraId="039C978E" w14:textId="77777777" w:rsidR="007F12F4" w:rsidRPr="007F12F4" w:rsidRDefault="007F12F4" w:rsidP="007F12F4">
      <w:pPr>
        <w:numPr>
          <w:ilvl w:val="0"/>
          <w:numId w:val="5"/>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Loss of Livelihood:</w:t>
      </w:r>
      <w:r w:rsidRPr="007F12F4">
        <w:rPr>
          <w:rFonts w:ascii="Arial" w:eastAsia="Times New Roman" w:hAnsi="Arial" w:cs="Arial"/>
          <w:kern w:val="0"/>
          <w:sz w:val="24"/>
          <w:szCs w:val="24"/>
          <w:lang w:eastAsia="en-AU"/>
          <w14:ligatures w14:val="none"/>
        </w:rPr>
        <w:t xml:space="preserve"> Maintaining standard employment is highly challenging. Sufferers often must resign from traditional workplace environments due to the presence of office electronics and cellular infrastructure, leading to financial instability and housing insecurity.</w:t>
      </w:r>
    </w:p>
    <w:p w14:paraId="296EE619" w14:textId="77777777" w:rsidR="007F12F4" w:rsidRPr="007F12F4" w:rsidRDefault="007F12F4" w:rsidP="007F12F4">
      <w:pPr>
        <w:numPr>
          <w:ilvl w:val="0"/>
          <w:numId w:val="5"/>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Healthcare Exclusion:</w:t>
      </w:r>
      <w:r w:rsidRPr="007F12F4">
        <w:rPr>
          <w:rFonts w:ascii="Arial" w:eastAsia="Times New Roman" w:hAnsi="Arial" w:cs="Arial"/>
          <w:kern w:val="0"/>
          <w:sz w:val="24"/>
          <w:szCs w:val="24"/>
          <w:lang w:eastAsia="en-AU"/>
          <w14:ligatures w14:val="none"/>
        </w:rPr>
        <w:t xml:space="preserve"> Individuals with severe EHS may avoid going to hospitals or clinics—even for acute, unrelated medical emergencies—due to the dense presence of medical machinery, Wi-Fi, and electronic equipment, putting their general health at risk. [</w:t>
      </w:r>
      <w:hyperlink r:id="rId42"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3C10548F" w14:textId="77777777" w:rsidR="00854650" w:rsidRDefault="00854650"/>
    <w:p w14:paraId="7E18A1A8"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The physical and anatomical differences between children and adults are central to the scientific debate regarding Radiofrequency Electromagnetic Fields (RF-EMFs) from wireless devices.</w:t>
      </w:r>
    </w:p>
    <w:p w14:paraId="11FEB267"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From an engineering and anatomical perspective, your observation is correct: </w:t>
      </w:r>
      <w:r w:rsidRPr="007F12F4">
        <w:rPr>
          <w:rFonts w:ascii="Arial" w:eastAsia="Times New Roman" w:hAnsi="Arial" w:cs="Arial"/>
          <w:b/>
          <w:bCs/>
          <w:kern w:val="0"/>
          <w:sz w:val="24"/>
          <w:szCs w:val="24"/>
          <w:lang w:eastAsia="en-AU"/>
          <w14:ligatures w14:val="none"/>
        </w:rPr>
        <w:t>children’s skulls are thinner, their heads are smaller, and their tissues have a higher water content, which allows RF radiation to penetrate deeper into their brain tissue</w:t>
      </w:r>
      <w:r w:rsidRPr="007F12F4">
        <w:rPr>
          <w:rFonts w:ascii="Arial" w:eastAsia="Times New Roman" w:hAnsi="Arial" w:cs="Arial"/>
          <w:kern w:val="0"/>
          <w:sz w:val="24"/>
          <w:szCs w:val="24"/>
          <w:lang w:eastAsia="en-AU"/>
          <w14:ligatures w14:val="none"/>
        </w:rPr>
        <w:t xml:space="preserve"> than it does in adults. [</w:t>
      </w:r>
      <w:hyperlink r:id="rId43"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44"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730EE35F"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The scientific consensus regarding </w:t>
      </w:r>
      <w:r w:rsidRPr="007F12F4">
        <w:rPr>
          <w:rFonts w:ascii="Arial" w:eastAsia="Times New Roman" w:hAnsi="Arial" w:cs="Arial"/>
          <w:i/>
          <w:iCs/>
          <w:kern w:val="0"/>
          <w:sz w:val="24"/>
          <w:szCs w:val="24"/>
          <w:lang w:eastAsia="en-AU"/>
          <w14:ligatures w14:val="none"/>
        </w:rPr>
        <w:t>how</w:t>
      </w:r>
      <w:r w:rsidRPr="007F12F4">
        <w:rPr>
          <w:rFonts w:ascii="Arial" w:eastAsia="Times New Roman" w:hAnsi="Arial" w:cs="Arial"/>
          <w:kern w:val="0"/>
          <w:sz w:val="24"/>
          <w:szCs w:val="24"/>
          <w:lang w:eastAsia="en-AU"/>
          <w14:ligatures w14:val="none"/>
        </w:rPr>
        <w:t xml:space="preserve"> this affects a child's brain is divided into physical dosimetry (how much energy is absorbed) and biological/clinical outcomes (whether that absorption causes actual harm).</w:t>
      </w:r>
    </w:p>
    <w:p w14:paraId="1D359811" w14:textId="77777777" w:rsidR="007F12F4" w:rsidRPr="007F12F4" w:rsidRDefault="007F12F4" w:rsidP="007F12F4">
      <w:pPr>
        <w:spacing w:before="480" w:after="480" w:line="240" w:lineRule="auto"/>
        <w:rPr>
          <w:rFonts w:ascii="Arial" w:eastAsia="Times New Roman" w:hAnsi="Arial" w:cs="Arial"/>
          <w:kern w:val="0"/>
          <w:sz w:val="21"/>
          <w:szCs w:val="21"/>
          <w:lang w:eastAsia="en-AU"/>
          <w14:ligatures w14:val="none"/>
        </w:rPr>
      </w:pPr>
      <w:r w:rsidRPr="007F12F4">
        <w:rPr>
          <w:rFonts w:ascii="Times New Roman" w:eastAsia="Times New Roman" w:hAnsi="Times New Roman" w:cs="Times New Roman"/>
          <w:kern w:val="0"/>
          <w:sz w:val="24"/>
          <w:szCs w:val="24"/>
          <w:lang w:eastAsia="en-AU"/>
          <w14:ligatures w14:val="none"/>
        </w:rPr>
        <w:pict w14:anchorId="4D6B00EF">
          <v:rect id="_x0000_i1029" style="width:0;height:1.5pt" o:hralign="center" o:hrstd="t" o:hr="t" fillcolor="#a0a0a0" stroked="f"/>
        </w:pict>
      </w:r>
    </w:p>
    <w:p w14:paraId="2C179506"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1. The Physics: Higher Energy Absorption (Dosimetry)</w:t>
      </w:r>
    </w:p>
    <w:p w14:paraId="1FBCE0A5"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t xml:space="preserve">Computer </w:t>
      </w:r>
      <w:proofErr w:type="spellStart"/>
      <w:r w:rsidRPr="007F12F4">
        <w:rPr>
          <w:rFonts w:ascii="Arial" w:eastAsia="Times New Roman" w:hAnsi="Arial" w:cs="Arial"/>
          <w:kern w:val="0"/>
          <w:sz w:val="24"/>
          <w:szCs w:val="24"/>
          <w:lang w:eastAsia="en-AU"/>
          <w14:ligatures w14:val="none"/>
        </w:rPr>
        <w:t>modeling</w:t>
      </w:r>
      <w:proofErr w:type="spellEnd"/>
      <w:r w:rsidRPr="007F12F4">
        <w:rPr>
          <w:rFonts w:ascii="Arial" w:eastAsia="Times New Roman" w:hAnsi="Arial" w:cs="Arial"/>
          <w:kern w:val="0"/>
          <w:sz w:val="24"/>
          <w:szCs w:val="24"/>
          <w:lang w:eastAsia="en-AU"/>
          <w14:ligatures w14:val="none"/>
        </w:rPr>
        <w:t xml:space="preserve"> and MRI-based simulations consistently show that when a cell phone or wireless device is held close to a child's head, the physical characteristics of their developing skull change how radiation interacts with the brain:</w:t>
      </w:r>
    </w:p>
    <w:p w14:paraId="2C02EF23" w14:textId="77777777" w:rsidR="007F12F4" w:rsidRPr="007F12F4" w:rsidRDefault="007F12F4" w:rsidP="007F12F4">
      <w:pPr>
        <w:numPr>
          <w:ilvl w:val="0"/>
          <w:numId w:val="6"/>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Reduced Shielding:</w:t>
      </w:r>
      <w:r w:rsidRPr="007F12F4">
        <w:rPr>
          <w:rFonts w:ascii="Arial" w:eastAsia="Times New Roman" w:hAnsi="Arial" w:cs="Arial"/>
          <w:kern w:val="0"/>
          <w:sz w:val="24"/>
          <w:szCs w:val="24"/>
          <w:lang w:eastAsia="en-AU"/>
          <w14:ligatures w14:val="none"/>
        </w:rPr>
        <w:t xml:space="preserve"> An adult's skull is typically about 2 mm thick, whereas a 5-year-old child's skull is roughly 0.5 mm thick. Because the bone is thinner, it provides less of a physical barrier to block or attenuate wireless frequencies. [</w:t>
      </w:r>
      <w:hyperlink r:id="rId45"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46"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 xml:space="preserve">, </w:t>
      </w:r>
      <w:hyperlink r:id="rId47" w:history="1">
        <w:r w:rsidRPr="007F12F4">
          <w:rPr>
            <w:rFonts w:ascii="Arial" w:eastAsia="Times New Roman" w:hAnsi="Arial" w:cs="Arial"/>
            <w:color w:val="0000FF"/>
            <w:kern w:val="0"/>
            <w:sz w:val="24"/>
            <w:szCs w:val="24"/>
            <w:u w:val="single"/>
            <w:lang w:eastAsia="en-AU"/>
            <w14:ligatures w14:val="none"/>
          </w:rPr>
          <w:t>3</w:t>
        </w:r>
      </w:hyperlink>
      <w:r w:rsidRPr="007F12F4">
        <w:rPr>
          <w:rFonts w:ascii="Arial" w:eastAsia="Times New Roman" w:hAnsi="Arial" w:cs="Arial"/>
          <w:kern w:val="0"/>
          <w:sz w:val="24"/>
          <w:szCs w:val="24"/>
          <w:lang w:eastAsia="en-AU"/>
          <w14:ligatures w14:val="none"/>
        </w:rPr>
        <w:t>]</w:t>
      </w:r>
    </w:p>
    <w:p w14:paraId="079CD95A" w14:textId="77777777" w:rsidR="007F12F4" w:rsidRPr="007F12F4" w:rsidRDefault="007F12F4" w:rsidP="007F12F4">
      <w:pPr>
        <w:numPr>
          <w:ilvl w:val="0"/>
          <w:numId w:val="6"/>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Deeper Penetration &amp; "Hot Spots":</w:t>
      </w:r>
      <w:r w:rsidRPr="007F12F4">
        <w:rPr>
          <w:rFonts w:ascii="Arial" w:eastAsia="Times New Roman" w:hAnsi="Arial" w:cs="Arial"/>
          <w:kern w:val="0"/>
          <w:sz w:val="24"/>
          <w:szCs w:val="24"/>
          <w:lang w:eastAsia="en-AU"/>
          <w14:ligatures w14:val="none"/>
        </w:rPr>
        <w:t xml:space="preserve"> Because a child's head is smaller, the distance from the outside of the skull to core brain structures is shorter. Peer-reviewed </w:t>
      </w:r>
      <w:proofErr w:type="spellStart"/>
      <w:r w:rsidRPr="007F12F4">
        <w:rPr>
          <w:rFonts w:ascii="Arial" w:eastAsia="Times New Roman" w:hAnsi="Arial" w:cs="Arial"/>
          <w:kern w:val="0"/>
          <w:sz w:val="24"/>
          <w:szCs w:val="24"/>
          <w:lang w:eastAsia="en-AU"/>
          <w14:ligatures w14:val="none"/>
        </w:rPr>
        <w:t>modeling</w:t>
      </w:r>
      <w:proofErr w:type="spellEnd"/>
      <w:r w:rsidRPr="007F12F4">
        <w:rPr>
          <w:rFonts w:ascii="Arial" w:eastAsia="Times New Roman" w:hAnsi="Arial" w:cs="Arial"/>
          <w:kern w:val="0"/>
          <w:sz w:val="24"/>
          <w:szCs w:val="24"/>
          <w:lang w:eastAsia="en-AU"/>
          <w14:ligatures w14:val="none"/>
        </w:rPr>
        <w:t xml:space="preserve"> indicates that a child's brain tissue can absorb up to </w:t>
      </w:r>
      <w:r w:rsidRPr="007F12F4">
        <w:rPr>
          <w:rFonts w:ascii="Arial" w:eastAsia="Times New Roman" w:hAnsi="Arial" w:cs="Arial"/>
          <w:b/>
          <w:bCs/>
          <w:kern w:val="0"/>
          <w:sz w:val="24"/>
          <w:szCs w:val="24"/>
          <w:lang w:eastAsia="en-AU"/>
          <w14:ligatures w14:val="none"/>
        </w:rPr>
        <w:t>two times more RF energy</w:t>
      </w:r>
      <w:r w:rsidRPr="007F12F4">
        <w:rPr>
          <w:rFonts w:ascii="Arial" w:eastAsia="Times New Roman" w:hAnsi="Arial" w:cs="Arial"/>
          <w:kern w:val="0"/>
          <w:sz w:val="24"/>
          <w:szCs w:val="24"/>
          <w:lang w:eastAsia="en-AU"/>
          <w14:ligatures w14:val="none"/>
        </w:rPr>
        <w:t xml:space="preserve"> than an adult's, and the highly sensitive bone marrow within their skull can absorb up to </w:t>
      </w:r>
      <w:r w:rsidRPr="007F12F4">
        <w:rPr>
          <w:rFonts w:ascii="Arial" w:eastAsia="Times New Roman" w:hAnsi="Arial" w:cs="Arial"/>
          <w:b/>
          <w:bCs/>
          <w:kern w:val="0"/>
          <w:sz w:val="24"/>
          <w:szCs w:val="24"/>
          <w:lang w:eastAsia="en-AU"/>
          <w14:ligatures w14:val="none"/>
        </w:rPr>
        <w:t>ten times more radiation</w:t>
      </w:r>
      <w:r w:rsidRPr="007F12F4">
        <w:rPr>
          <w:rFonts w:ascii="Arial" w:eastAsia="Times New Roman" w:hAnsi="Arial" w:cs="Arial"/>
          <w:kern w:val="0"/>
          <w:sz w:val="24"/>
          <w:szCs w:val="24"/>
          <w:lang w:eastAsia="en-AU"/>
          <w14:ligatures w14:val="none"/>
        </w:rPr>
        <w:t>. [</w:t>
      </w:r>
      <w:hyperlink r:id="rId48"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49"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 xml:space="preserve">, </w:t>
      </w:r>
      <w:hyperlink r:id="rId50" w:history="1">
        <w:r w:rsidRPr="007F12F4">
          <w:rPr>
            <w:rFonts w:ascii="Arial" w:eastAsia="Times New Roman" w:hAnsi="Arial" w:cs="Arial"/>
            <w:color w:val="0000FF"/>
            <w:kern w:val="0"/>
            <w:sz w:val="24"/>
            <w:szCs w:val="24"/>
            <w:u w:val="single"/>
            <w:lang w:eastAsia="en-AU"/>
            <w14:ligatures w14:val="none"/>
          </w:rPr>
          <w:t>3</w:t>
        </w:r>
      </w:hyperlink>
      <w:r w:rsidRPr="007F12F4">
        <w:rPr>
          <w:rFonts w:ascii="Arial" w:eastAsia="Times New Roman" w:hAnsi="Arial" w:cs="Arial"/>
          <w:kern w:val="0"/>
          <w:sz w:val="24"/>
          <w:szCs w:val="24"/>
          <w:lang w:eastAsia="en-AU"/>
          <w14:ligatures w14:val="none"/>
        </w:rPr>
        <w:t xml:space="preserve">, </w:t>
      </w:r>
      <w:hyperlink r:id="rId51" w:history="1">
        <w:r w:rsidRPr="007F12F4">
          <w:rPr>
            <w:rFonts w:ascii="Arial" w:eastAsia="Times New Roman" w:hAnsi="Arial" w:cs="Arial"/>
            <w:color w:val="0000FF"/>
            <w:kern w:val="0"/>
            <w:sz w:val="24"/>
            <w:szCs w:val="24"/>
            <w:u w:val="single"/>
            <w:lang w:eastAsia="en-AU"/>
            <w14:ligatures w14:val="none"/>
          </w:rPr>
          <w:t>4</w:t>
        </w:r>
      </w:hyperlink>
      <w:r w:rsidRPr="007F12F4">
        <w:rPr>
          <w:rFonts w:ascii="Arial" w:eastAsia="Times New Roman" w:hAnsi="Arial" w:cs="Arial"/>
          <w:kern w:val="0"/>
          <w:sz w:val="24"/>
          <w:szCs w:val="24"/>
          <w:lang w:eastAsia="en-AU"/>
          <w14:ligatures w14:val="none"/>
        </w:rPr>
        <w:t>]</w:t>
      </w:r>
    </w:p>
    <w:p w14:paraId="274AF7B0" w14:textId="77777777" w:rsidR="007F12F4" w:rsidRPr="007F12F4" w:rsidRDefault="007F12F4" w:rsidP="007F12F4">
      <w:pPr>
        <w:numPr>
          <w:ilvl w:val="0"/>
          <w:numId w:val="6"/>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Dielectric Properties:</w:t>
      </w:r>
      <w:r w:rsidRPr="007F12F4">
        <w:rPr>
          <w:rFonts w:ascii="Arial" w:eastAsia="Times New Roman" w:hAnsi="Arial" w:cs="Arial"/>
          <w:kern w:val="0"/>
          <w:sz w:val="24"/>
          <w:szCs w:val="24"/>
          <w:lang w:eastAsia="en-AU"/>
          <w14:ligatures w14:val="none"/>
        </w:rPr>
        <w:t xml:space="preserve"> Children's brain tissues have a higher water content and lower fat concentration (due to incomplete myelination, the protective coating around nerve cells). Water absorbs microwave and radiofrequency energy highly efficiently, meaning the radiation travels into the child's brain tissue with less reflection at the boundaries. [</w:t>
      </w:r>
      <w:hyperlink r:id="rId52"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020CD1F0" w14:textId="77777777" w:rsidR="007F12F4" w:rsidRPr="007F12F4" w:rsidRDefault="007F12F4" w:rsidP="007F12F4">
      <w:pPr>
        <w:spacing w:after="0" w:line="240" w:lineRule="auto"/>
        <w:rPr>
          <w:rFonts w:ascii="Arial" w:eastAsia="Times New Roman" w:hAnsi="Arial" w:cs="Arial"/>
          <w:b/>
          <w:bCs/>
          <w:kern w:val="0"/>
          <w:sz w:val="30"/>
          <w:szCs w:val="30"/>
          <w:lang w:eastAsia="en-AU"/>
          <w14:ligatures w14:val="none"/>
        </w:rPr>
      </w:pPr>
      <w:r w:rsidRPr="007F12F4">
        <w:rPr>
          <w:rFonts w:ascii="Arial" w:eastAsia="Times New Roman" w:hAnsi="Arial" w:cs="Arial"/>
          <w:b/>
          <w:bCs/>
          <w:kern w:val="0"/>
          <w:sz w:val="30"/>
          <w:szCs w:val="30"/>
          <w:lang w:eastAsia="en-AU"/>
          <w14:ligatures w14:val="none"/>
        </w:rPr>
        <w:t>2. Biological Concerns: Vulnerability of a Developing Brain</w:t>
      </w:r>
    </w:p>
    <w:p w14:paraId="40DEA41A" w14:textId="77777777" w:rsidR="007F12F4" w:rsidRPr="007F12F4" w:rsidRDefault="007F12F4" w:rsidP="007F12F4">
      <w:p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kern w:val="0"/>
          <w:sz w:val="24"/>
          <w:szCs w:val="24"/>
          <w:lang w:eastAsia="en-AU"/>
          <w14:ligatures w14:val="none"/>
        </w:rPr>
        <w:lastRenderedPageBreak/>
        <w:t xml:space="preserve">Independent research organizations, such as the </w:t>
      </w:r>
      <w:hyperlink r:id="rId53" w:tgtFrame="_blank" w:history="1">
        <w:r w:rsidRPr="007F12F4">
          <w:rPr>
            <w:rFonts w:ascii="Arial" w:eastAsia="Times New Roman" w:hAnsi="Arial" w:cs="Arial"/>
            <w:color w:val="0000FF"/>
            <w:kern w:val="0"/>
            <w:sz w:val="24"/>
            <w:szCs w:val="24"/>
            <w:u w:val="single"/>
            <w:lang w:eastAsia="en-AU"/>
            <w14:ligatures w14:val="none"/>
          </w:rPr>
          <w:t>Environmental Health Trust (EHT)</w:t>
        </w:r>
      </w:hyperlink>
      <w:r w:rsidRPr="007F12F4">
        <w:rPr>
          <w:rFonts w:ascii="Arial" w:eastAsia="Times New Roman" w:hAnsi="Arial" w:cs="Arial"/>
          <w:kern w:val="0"/>
          <w:sz w:val="24"/>
          <w:szCs w:val="24"/>
          <w:lang w:eastAsia="en-AU"/>
          <w14:ligatures w14:val="none"/>
        </w:rPr>
        <w:t>, point out that the higher absorption rates occur during critical windows of neurological development. The primary biological concerns include:</w:t>
      </w:r>
    </w:p>
    <w:p w14:paraId="384A50F7" w14:textId="77777777" w:rsidR="007F12F4" w:rsidRPr="007F12F4" w:rsidRDefault="007F12F4" w:rsidP="007F12F4">
      <w:pPr>
        <w:numPr>
          <w:ilvl w:val="0"/>
          <w:numId w:val="7"/>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Myelination Interruption:</w:t>
      </w:r>
      <w:r w:rsidRPr="007F12F4">
        <w:rPr>
          <w:rFonts w:ascii="Arial" w:eastAsia="Times New Roman" w:hAnsi="Arial" w:cs="Arial"/>
          <w:kern w:val="0"/>
          <w:sz w:val="24"/>
          <w:szCs w:val="24"/>
          <w:lang w:eastAsia="en-AU"/>
          <w14:ligatures w14:val="none"/>
        </w:rPr>
        <w:t xml:space="preserve"> The brain's neurons are insulated by a myelin sheath, a process that occurs rapidly in early childhood and continues into early adulthood. Some experimental models suggest that heavy exposure to RF-EMFs could potentially interfere with the integrity of this protective coating. [</w:t>
      </w:r>
      <w:hyperlink r:id="rId54"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 xml:space="preserve">, </w:t>
      </w:r>
      <w:hyperlink r:id="rId55" w:history="1">
        <w:r w:rsidRPr="007F12F4">
          <w:rPr>
            <w:rFonts w:ascii="Arial" w:eastAsia="Times New Roman" w:hAnsi="Arial" w:cs="Arial"/>
            <w:color w:val="0000FF"/>
            <w:kern w:val="0"/>
            <w:sz w:val="24"/>
            <w:szCs w:val="24"/>
            <w:u w:val="single"/>
            <w:lang w:eastAsia="en-AU"/>
            <w14:ligatures w14:val="none"/>
          </w:rPr>
          <w:t>2</w:t>
        </w:r>
      </w:hyperlink>
      <w:r w:rsidRPr="007F12F4">
        <w:rPr>
          <w:rFonts w:ascii="Arial" w:eastAsia="Times New Roman" w:hAnsi="Arial" w:cs="Arial"/>
          <w:kern w:val="0"/>
          <w:sz w:val="24"/>
          <w:szCs w:val="24"/>
          <w:lang w:eastAsia="en-AU"/>
          <w14:ligatures w14:val="none"/>
        </w:rPr>
        <w:t>]</w:t>
      </w:r>
    </w:p>
    <w:p w14:paraId="1610E435" w14:textId="77777777" w:rsidR="007F12F4" w:rsidRPr="007F12F4" w:rsidRDefault="007F12F4" w:rsidP="007F12F4">
      <w:pPr>
        <w:numPr>
          <w:ilvl w:val="0"/>
          <w:numId w:val="7"/>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Oxidative Stress:</w:t>
      </w:r>
      <w:r w:rsidRPr="007F12F4">
        <w:rPr>
          <w:rFonts w:ascii="Arial" w:eastAsia="Times New Roman" w:hAnsi="Arial" w:cs="Arial"/>
          <w:kern w:val="0"/>
          <w:sz w:val="24"/>
          <w:szCs w:val="24"/>
          <w:lang w:eastAsia="en-AU"/>
          <w14:ligatures w14:val="none"/>
        </w:rPr>
        <w:t xml:space="preserve"> A frequently reproduced biological effect of EMF exposure in cellular studies is the generation of </w:t>
      </w:r>
      <w:r w:rsidRPr="007F12F4">
        <w:rPr>
          <w:rFonts w:ascii="Arial" w:eastAsia="Times New Roman" w:hAnsi="Arial" w:cs="Arial"/>
          <w:b/>
          <w:bCs/>
          <w:kern w:val="0"/>
          <w:sz w:val="24"/>
          <w:szCs w:val="24"/>
          <w:lang w:eastAsia="en-AU"/>
          <w14:ligatures w14:val="none"/>
        </w:rPr>
        <w:t>reactive oxygen species (ROS)</w:t>
      </w:r>
      <w:r w:rsidRPr="007F12F4">
        <w:rPr>
          <w:rFonts w:ascii="Arial" w:eastAsia="Times New Roman" w:hAnsi="Arial" w:cs="Arial"/>
          <w:kern w:val="0"/>
          <w:sz w:val="24"/>
          <w:szCs w:val="24"/>
          <w:lang w:eastAsia="en-AU"/>
          <w14:ligatures w14:val="none"/>
        </w:rPr>
        <w:t xml:space="preserve">, or oxidative stress. If cellular free radicals overwhelm a child’s developing antioxidant </w:t>
      </w:r>
      <w:proofErr w:type="spellStart"/>
      <w:r w:rsidRPr="007F12F4">
        <w:rPr>
          <w:rFonts w:ascii="Arial" w:eastAsia="Times New Roman" w:hAnsi="Arial" w:cs="Arial"/>
          <w:kern w:val="0"/>
          <w:sz w:val="24"/>
          <w:szCs w:val="24"/>
          <w:lang w:eastAsia="en-AU"/>
          <w14:ligatures w14:val="none"/>
        </w:rPr>
        <w:t>defense</w:t>
      </w:r>
      <w:proofErr w:type="spellEnd"/>
      <w:r w:rsidRPr="007F12F4">
        <w:rPr>
          <w:rFonts w:ascii="Arial" w:eastAsia="Times New Roman" w:hAnsi="Arial" w:cs="Arial"/>
          <w:kern w:val="0"/>
          <w:sz w:val="24"/>
          <w:szCs w:val="24"/>
          <w:lang w:eastAsia="en-AU"/>
          <w14:ligatures w14:val="none"/>
        </w:rPr>
        <w:t xml:space="preserve"> systems, it can theoretically lead to localized cellular damage. [</w:t>
      </w:r>
      <w:hyperlink r:id="rId56"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210F7BE1" w14:textId="77777777" w:rsidR="007F12F4" w:rsidRPr="007F12F4" w:rsidRDefault="007F12F4" w:rsidP="007F12F4">
      <w:pPr>
        <w:numPr>
          <w:ilvl w:val="0"/>
          <w:numId w:val="7"/>
        </w:numPr>
        <w:spacing w:after="0" w:line="240" w:lineRule="auto"/>
        <w:rPr>
          <w:rFonts w:ascii="Arial" w:eastAsia="Times New Roman" w:hAnsi="Arial" w:cs="Arial"/>
          <w:kern w:val="0"/>
          <w:sz w:val="24"/>
          <w:szCs w:val="24"/>
          <w:lang w:eastAsia="en-AU"/>
          <w14:ligatures w14:val="none"/>
        </w:rPr>
      </w:pPr>
      <w:r w:rsidRPr="007F12F4">
        <w:rPr>
          <w:rFonts w:ascii="Arial" w:eastAsia="Times New Roman" w:hAnsi="Arial" w:cs="Arial"/>
          <w:b/>
          <w:bCs/>
          <w:kern w:val="0"/>
          <w:sz w:val="24"/>
          <w:szCs w:val="24"/>
          <w:lang w:eastAsia="en-AU"/>
          <w14:ligatures w14:val="none"/>
        </w:rPr>
        <w:t>Long-Term Accumulation:</w:t>
      </w:r>
      <w:r w:rsidRPr="007F12F4">
        <w:rPr>
          <w:rFonts w:ascii="Arial" w:eastAsia="Times New Roman" w:hAnsi="Arial" w:cs="Arial"/>
          <w:kern w:val="0"/>
          <w:sz w:val="24"/>
          <w:szCs w:val="24"/>
          <w:lang w:eastAsia="en-AU"/>
          <w14:ligatures w14:val="none"/>
        </w:rPr>
        <w:t xml:space="preserve"> Because children are exposed to wireless technology from infancy or even </w:t>
      </w:r>
      <w:r w:rsidRPr="007F12F4">
        <w:rPr>
          <w:rFonts w:ascii="Arial" w:eastAsia="Times New Roman" w:hAnsi="Arial" w:cs="Arial"/>
          <w:i/>
          <w:iCs/>
          <w:kern w:val="0"/>
          <w:sz w:val="24"/>
          <w:szCs w:val="24"/>
          <w:lang w:eastAsia="en-AU"/>
          <w14:ligatures w14:val="none"/>
        </w:rPr>
        <w:t>in utero</w:t>
      </w:r>
      <w:r w:rsidRPr="007F12F4">
        <w:rPr>
          <w:rFonts w:ascii="Arial" w:eastAsia="Times New Roman" w:hAnsi="Arial" w:cs="Arial"/>
          <w:kern w:val="0"/>
          <w:sz w:val="24"/>
          <w:szCs w:val="24"/>
          <w:lang w:eastAsia="en-AU"/>
          <w14:ligatures w14:val="none"/>
        </w:rPr>
        <w:t>, their cumulative lifetime exposure will be exponentially higher than that of current adults. [</w:t>
      </w:r>
      <w:hyperlink r:id="rId57" w:history="1">
        <w:r w:rsidRPr="007F12F4">
          <w:rPr>
            <w:rFonts w:ascii="Arial" w:eastAsia="Times New Roman" w:hAnsi="Arial" w:cs="Arial"/>
            <w:color w:val="0000FF"/>
            <w:kern w:val="0"/>
            <w:sz w:val="24"/>
            <w:szCs w:val="24"/>
            <w:u w:val="single"/>
            <w:lang w:eastAsia="en-AU"/>
            <w14:ligatures w14:val="none"/>
          </w:rPr>
          <w:t>1</w:t>
        </w:r>
      </w:hyperlink>
      <w:r w:rsidRPr="007F12F4">
        <w:rPr>
          <w:rFonts w:ascii="Arial" w:eastAsia="Times New Roman" w:hAnsi="Arial" w:cs="Arial"/>
          <w:kern w:val="0"/>
          <w:sz w:val="24"/>
          <w:szCs w:val="24"/>
          <w:lang w:eastAsia="en-AU"/>
          <w14:ligatures w14:val="none"/>
        </w:rPr>
        <w:t>]</w:t>
      </w:r>
    </w:p>
    <w:p w14:paraId="6A102A2C" w14:textId="77777777" w:rsidR="007F12F4" w:rsidRPr="007F12F4" w:rsidRDefault="007F12F4" w:rsidP="007F12F4">
      <w:pPr>
        <w:spacing w:before="480" w:after="480" w:line="240" w:lineRule="auto"/>
        <w:rPr>
          <w:rFonts w:ascii="Arial" w:eastAsia="Times New Roman" w:hAnsi="Arial" w:cs="Arial"/>
          <w:kern w:val="0"/>
          <w:sz w:val="21"/>
          <w:szCs w:val="21"/>
          <w:lang w:eastAsia="en-AU"/>
          <w14:ligatures w14:val="none"/>
        </w:rPr>
      </w:pPr>
      <w:r w:rsidRPr="007F12F4">
        <w:rPr>
          <w:rFonts w:ascii="Times New Roman" w:eastAsia="Times New Roman" w:hAnsi="Times New Roman" w:cs="Times New Roman"/>
          <w:kern w:val="0"/>
          <w:sz w:val="24"/>
          <w:szCs w:val="24"/>
          <w:lang w:eastAsia="en-AU"/>
          <w14:ligatures w14:val="none"/>
        </w:rPr>
        <w:pict w14:anchorId="1D0FB17C">
          <v:rect id="_x0000_i1030" style="width:0;height:1.5pt" o:hralign="center" o:hrstd="t" o:hr="t" fillcolor="#a0a0a0" stroked="f"/>
        </w:pict>
      </w:r>
    </w:p>
    <w:p w14:paraId="0917B72C" w14:textId="77777777" w:rsidR="007F12F4" w:rsidRDefault="007F12F4"/>
    <w:sectPr w:rsidR="007F12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015A"/>
    <w:multiLevelType w:val="multilevel"/>
    <w:tmpl w:val="0064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B039C"/>
    <w:multiLevelType w:val="multilevel"/>
    <w:tmpl w:val="5062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BF5396"/>
    <w:multiLevelType w:val="multilevel"/>
    <w:tmpl w:val="C4D6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0F192D"/>
    <w:multiLevelType w:val="multilevel"/>
    <w:tmpl w:val="1B249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F44F6"/>
    <w:multiLevelType w:val="multilevel"/>
    <w:tmpl w:val="C952E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5736C8"/>
    <w:multiLevelType w:val="multilevel"/>
    <w:tmpl w:val="BA82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9E3BC1"/>
    <w:multiLevelType w:val="multilevel"/>
    <w:tmpl w:val="59F8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348538">
    <w:abstractNumId w:val="0"/>
  </w:num>
  <w:num w:numId="2" w16cid:durableId="1584531097">
    <w:abstractNumId w:val="4"/>
  </w:num>
  <w:num w:numId="3" w16cid:durableId="1310750888">
    <w:abstractNumId w:val="5"/>
  </w:num>
  <w:num w:numId="4" w16cid:durableId="583105947">
    <w:abstractNumId w:val="3"/>
  </w:num>
  <w:num w:numId="5" w16cid:durableId="1603492955">
    <w:abstractNumId w:val="6"/>
  </w:num>
  <w:num w:numId="6" w16cid:durableId="570778001">
    <w:abstractNumId w:val="1"/>
  </w:num>
  <w:num w:numId="7" w16cid:durableId="175969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2F4"/>
    <w:rsid w:val="00346BF0"/>
    <w:rsid w:val="007F12F4"/>
    <w:rsid w:val="00854650"/>
    <w:rsid w:val="008B236B"/>
    <w:rsid w:val="00973B39"/>
    <w:rsid w:val="00FE08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496C"/>
  <w15:chartTrackingRefBased/>
  <w15:docId w15:val="{5F413B02-E3D6-4571-8581-C61D8763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2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2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2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2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2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2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2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2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2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2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2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2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2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2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2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2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2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2F4"/>
    <w:rPr>
      <w:rFonts w:eastAsiaTheme="majorEastAsia" w:cstheme="majorBidi"/>
      <w:color w:val="272727" w:themeColor="text1" w:themeTint="D8"/>
    </w:rPr>
  </w:style>
  <w:style w:type="paragraph" w:styleId="Title">
    <w:name w:val="Title"/>
    <w:basedOn w:val="Normal"/>
    <w:next w:val="Normal"/>
    <w:link w:val="TitleChar"/>
    <w:uiPriority w:val="10"/>
    <w:qFormat/>
    <w:rsid w:val="007F12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2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2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2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2F4"/>
    <w:pPr>
      <w:spacing w:before="160"/>
      <w:jc w:val="center"/>
    </w:pPr>
    <w:rPr>
      <w:i/>
      <w:iCs/>
      <w:color w:val="404040" w:themeColor="text1" w:themeTint="BF"/>
    </w:rPr>
  </w:style>
  <w:style w:type="character" w:customStyle="1" w:styleId="QuoteChar">
    <w:name w:val="Quote Char"/>
    <w:basedOn w:val="DefaultParagraphFont"/>
    <w:link w:val="Quote"/>
    <w:uiPriority w:val="29"/>
    <w:rsid w:val="007F12F4"/>
    <w:rPr>
      <w:i/>
      <w:iCs/>
      <w:color w:val="404040" w:themeColor="text1" w:themeTint="BF"/>
    </w:rPr>
  </w:style>
  <w:style w:type="paragraph" w:styleId="ListParagraph">
    <w:name w:val="List Paragraph"/>
    <w:basedOn w:val="Normal"/>
    <w:uiPriority w:val="34"/>
    <w:qFormat/>
    <w:rsid w:val="007F12F4"/>
    <w:pPr>
      <w:ind w:left="720"/>
      <w:contextualSpacing/>
    </w:pPr>
  </w:style>
  <w:style w:type="character" w:styleId="IntenseEmphasis">
    <w:name w:val="Intense Emphasis"/>
    <w:basedOn w:val="DefaultParagraphFont"/>
    <w:uiPriority w:val="21"/>
    <w:qFormat/>
    <w:rsid w:val="007F12F4"/>
    <w:rPr>
      <w:i/>
      <w:iCs/>
      <w:color w:val="0F4761" w:themeColor="accent1" w:themeShade="BF"/>
    </w:rPr>
  </w:style>
  <w:style w:type="paragraph" w:styleId="IntenseQuote">
    <w:name w:val="Intense Quote"/>
    <w:basedOn w:val="Normal"/>
    <w:next w:val="Normal"/>
    <w:link w:val="IntenseQuoteChar"/>
    <w:uiPriority w:val="30"/>
    <w:qFormat/>
    <w:rsid w:val="007F12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2F4"/>
    <w:rPr>
      <w:i/>
      <w:iCs/>
      <w:color w:val="0F4761" w:themeColor="accent1" w:themeShade="BF"/>
    </w:rPr>
  </w:style>
  <w:style w:type="character" w:styleId="IntenseReference">
    <w:name w:val="Intense Reference"/>
    <w:basedOn w:val="DefaultParagraphFont"/>
    <w:uiPriority w:val="32"/>
    <w:qFormat/>
    <w:rsid w:val="007F12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mc.ncbi.nlm.nih.gov/articles/PMC11252546/" TargetMode="External"/><Relationship Id="rId18" Type="http://schemas.openxmlformats.org/officeDocument/2006/relationships/hyperlink" Target="https://www.fabians.org.au/changes_to_radiation_protection_standards_for_worse_or_for_better" TargetMode="External"/><Relationship Id="rId26" Type="http://schemas.openxmlformats.org/officeDocument/2006/relationships/hyperlink" Target="https://pmc.ncbi.nlm.nih.gov/articles/PMC2477717/" TargetMode="External"/><Relationship Id="rId39" Type="http://schemas.openxmlformats.org/officeDocument/2006/relationships/hyperlink" Target="https://www.tandfonline.com/doi/full/10.1080/19420889.2024.2384874" TargetMode="External"/><Relationship Id="rId21" Type="http://schemas.openxmlformats.org/officeDocument/2006/relationships/hyperlink" Target="https://pmc.ncbi.nlm.nih.gov/articles/PMC4109571/" TargetMode="External"/><Relationship Id="rId34" Type="http://schemas.openxmlformats.org/officeDocument/2006/relationships/hyperlink" Target="https://www.healthline.com/health/emf" TargetMode="External"/><Relationship Id="rId42" Type="http://schemas.openxmlformats.org/officeDocument/2006/relationships/hyperlink" Target="https://pmc.ncbi.nlm.nih.gov/articles/PMC7201940/" TargetMode="External"/><Relationship Id="rId47" Type="http://schemas.openxmlformats.org/officeDocument/2006/relationships/hyperlink" Target="https://ehtrust.org/childrencellphoneradiationeffects/" TargetMode="External"/><Relationship Id="rId50" Type="http://schemas.openxmlformats.org/officeDocument/2006/relationships/hyperlink" Target="https://ehsciences.org/science-on-children-cell-phone-radiation-and-health-risk/" TargetMode="External"/><Relationship Id="rId55" Type="http://schemas.openxmlformats.org/officeDocument/2006/relationships/hyperlink" Target="https://touroscholar.touro.edu/cgi/viewcontent.cgi?article=1218&amp;context=sjlcas" TargetMode="External"/><Relationship Id="rId7" Type="http://schemas.openxmlformats.org/officeDocument/2006/relationships/hyperlink" Target="https://esmed.org/lifecycle-radiation-protection-ensuring-future-generations/" TargetMode="External"/><Relationship Id="rId2" Type="http://schemas.openxmlformats.org/officeDocument/2006/relationships/styles" Target="styles.xml"/><Relationship Id="rId16" Type="http://schemas.openxmlformats.org/officeDocument/2006/relationships/hyperlink" Target="https://esmed.org/lifecycle-radiation-protection-ensuring-future-generations/" TargetMode="External"/><Relationship Id="rId29" Type="http://schemas.openxmlformats.org/officeDocument/2006/relationships/hyperlink" Target="https://pmc.ncbi.nlm.nih.gov/articles/PMC7201940/" TargetMode="External"/><Relationship Id="rId11" Type="http://schemas.openxmlformats.org/officeDocument/2006/relationships/hyperlink" Target="https://esmed.org/lifecycle-radiation-protection-ensuring-future-generations/" TargetMode="External"/><Relationship Id="rId24" Type="http://schemas.openxmlformats.org/officeDocument/2006/relationships/hyperlink" Target="https://diabetesjournals.org/care/article/49/1/e1/163647/Association-of-Radiation-Exposure-With-Insulin" TargetMode="External"/><Relationship Id="rId32" Type="http://schemas.openxmlformats.org/officeDocument/2006/relationships/hyperlink" Target="https://www.tandfonline.com/doi/full/10.1080/19420889.2024.2384874" TargetMode="External"/><Relationship Id="rId37" Type="http://schemas.openxmlformats.org/officeDocument/2006/relationships/hyperlink" Target="https://www.openaccessgovernment.org/article/understanding-electromagnetic-hypersensitivity-ehs/186204/" TargetMode="External"/><Relationship Id="rId40" Type="http://schemas.openxmlformats.org/officeDocument/2006/relationships/hyperlink" Target="https://esmed.org/recovery-strategies-for-electromagnetic-intolerance/" TargetMode="External"/><Relationship Id="rId45" Type="http://schemas.openxmlformats.org/officeDocument/2006/relationships/hyperlink" Target="https://pmc.ncbi.nlm.nih.gov/articles/PMC7642138/" TargetMode="External"/><Relationship Id="rId53" Type="http://schemas.openxmlformats.org/officeDocument/2006/relationships/hyperlink" Target="https://ehtrust.org/" TargetMode="External"/><Relationship Id="rId58" Type="http://schemas.openxmlformats.org/officeDocument/2006/relationships/fontTable" Target="fontTable.xml"/><Relationship Id="rId5" Type="http://schemas.openxmlformats.org/officeDocument/2006/relationships/hyperlink" Target="https://world-nuclear.org/information-library/safety-and-security/radiation-and-health/radiation-and-health-effects" TargetMode="External"/><Relationship Id="rId19" Type="http://schemas.openxmlformats.org/officeDocument/2006/relationships/hyperlink" Target="https://world-nuclear.org/information-library/safety-and-security/radiation-and-health/radiation-and-health-effects" TargetMode="External"/><Relationship Id="rId4" Type="http://schemas.openxmlformats.org/officeDocument/2006/relationships/webSettings" Target="webSettings.xml"/><Relationship Id="rId9" Type="http://schemas.openxmlformats.org/officeDocument/2006/relationships/hyperlink" Target="https://esmed.org/lifecycle-radiation-protection-ensuring-future-generations/" TargetMode="External"/><Relationship Id="rId14" Type="http://schemas.openxmlformats.org/officeDocument/2006/relationships/hyperlink" Target="https://pmc.ncbi.nlm.nih.gov/articles/PMC4109571/" TargetMode="External"/><Relationship Id="rId22" Type="http://schemas.openxmlformats.org/officeDocument/2006/relationships/hyperlink" Target="https://diabetesjournals.org/care/article/49/1/e1/163647/Association-of-Radiation-Exposure-With-Insulin" TargetMode="External"/><Relationship Id="rId27" Type="http://schemas.openxmlformats.org/officeDocument/2006/relationships/hyperlink" Target="https://www.who.int/teams/environment-climate-change-and-health/radiation-and-health/non-ionizing/hypersensitivity" TargetMode="External"/><Relationship Id="rId30" Type="http://schemas.openxmlformats.org/officeDocument/2006/relationships/hyperlink" Target="https://www.arpansa.gov.au/understanding-radiation/radiation-sources/more-radiation-sources/electromagnetic-hypersensitivity" TargetMode="External"/><Relationship Id="rId35" Type="http://schemas.openxmlformats.org/officeDocument/2006/relationships/hyperlink" Target="https://pmc.ncbi.nlm.nih.gov/articles/PMC7201940/" TargetMode="External"/><Relationship Id="rId43" Type="http://schemas.openxmlformats.org/officeDocument/2006/relationships/hyperlink" Target="https://ehsciences.org/science-on-children-cell-phone-radiation-and-health-risk/" TargetMode="External"/><Relationship Id="rId48" Type="http://schemas.openxmlformats.org/officeDocument/2006/relationships/hyperlink" Target="https://ehtrust.org/science/scientific-imaging-cell-phone-wi-fi-radiation-exposures-human-body/" TargetMode="External"/><Relationship Id="rId56" Type="http://schemas.openxmlformats.org/officeDocument/2006/relationships/hyperlink" Target="https://arizonahomeopathic.org/emf-health-effects-in-2026-what-the-latest-research-reveals/" TargetMode="External"/><Relationship Id="rId8" Type="http://schemas.openxmlformats.org/officeDocument/2006/relationships/hyperlink" Target="https://esmed.org/lifecycle-radiation-protection-ensuring-future-generations/" TargetMode="External"/><Relationship Id="rId51" Type="http://schemas.openxmlformats.org/officeDocument/2006/relationships/hyperlink" Target="https://www.facebook.com/thebrainmazeofficial/photos/childrens-skulls-are-thinner-and-their-heads-smaller-than-adults-which-allows-ph/816999990983596/" TargetMode="External"/><Relationship Id="rId3" Type="http://schemas.openxmlformats.org/officeDocument/2006/relationships/settings" Target="settings.xml"/><Relationship Id="rId12" Type="http://schemas.openxmlformats.org/officeDocument/2006/relationships/hyperlink" Target="https://www.who.int/news-room/fact-sheets/detail/ionizing-radiation-and-health-effects" TargetMode="External"/><Relationship Id="rId17" Type="http://schemas.openxmlformats.org/officeDocument/2006/relationships/hyperlink" Target="https://pmc.ncbi.nlm.nih.gov/articles/PMC11252546/" TargetMode="External"/><Relationship Id="rId25" Type="http://schemas.openxmlformats.org/officeDocument/2006/relationships/hyperlink" Target="https://pmc.ncbi.nlm.nih.gov/articles/PMC12766499/" TargetMode="External"/><Relationship Id="rId33" Type="http://schemas.openxmlformats.org/officeDocument/2006/relationships/hyperlink" Target="https://pmc.ncbi.nlm.nih.gov/articles/PMC7201940/" TargetMode="External"/><Relationship Id="rId38" Type="http://schemas.openxmlformats.org/officeDocument/2006/relationships/hyperlink" Target="https://www.arpansa.gov.au/understanding-radiation/radiation-sources/more-radiation-sources/electromagnetic-hypersensitivity" TargetMode="External"/><Relationship Id="rId46" Type="http://schemas.openxmlformats.org/officeDocument/2006/relationships/hyperlink" Target="https://pmc.ncbi.nlm.nih.gov/articles/PMC7642138/" TargetMode="External"/><Relationship Id="rId59" Type="http://schemas.openxmlformats.org/officeDocument/2006/relationships/theme" Target="theme/theme1.xml"/><Relationship Id="rId20" Type="http://schemas.openxmlformats.org/officeDocument/2006/relationships/hyperlink" Target="https://diabetesjournals.org/care/article/49/1/e1/163647/Association-of-Radiation-Exposure-With-Insulin" TargetMode="External"/><Relationship Id="rId41" Type="http://schemas.openxmlformats.org/officeDocument/2006/relationships/hyperlink" Target="https://lamclinic.com/articles/electromagnetic-hypersensitivity-and-adrenal-fatigue/" TargetMode="External"/><Relationship Id="rId54" Type="http://schemas.openxmlformats.org/officeDocument/2006/relationships/hyperlink" Target="https://www.sciencedirect.com/science/article/pii/S2213879X14000583" TargetMode="External"/><Relationship Id="rId1" Type="http://schemas.openxmlformats.org/officeDocument/2006/relationships/numbering" Target="numbering.xml"/><Relationship Id="rId6" Type="http://schemas.openxmlformats.org/officeDocument/2006/relationships/hyperlink" Target="https://www.fabians.org.au/changes_to_radiation_protection_standards_for_worse_or_for_better" TargetMode="External"/><Relationship Id="rId15" Type="http://schemas.openxmlformats.org/officeDocument/2006/relationships/hyperlink" Target="https://pmc.ncbi.nlm.nih.gov/articles/PMC11252546/" TargetMode="External"/><Relationship Id="rId23" Type="http://schemas.openxmlformats.org/officeDocument/2006/relationships/hyperlink" Target="https://pmc.ncbi.nlm.nih.gov/articles/PMC4109571/" TargetMode="External"/><Relationship Id="rId28" Type="http://schemas.openxmlformats.org/officeDocument/2006/relationships/hyperlink" Target="https://www.who.int/teams/environment-climate-change-and-health/radiation-and-health/non-ionizing/hypersensitivity" TargetMode="External"/><Relationship Id="rId36" Type="http://schemas.openxmlformats.org/officeDocument/2006/relationships/hyperlink" Target="https://www.tandfonline.com/doi/full/10.1080/19420889.2024.2384874" TargetMode="External"/><Relationship Id="rId49" Type="http://schemas.openxmlformats.org/officeDocument/2006/relationships/hyperlink" Target="https://ehtrust.org/research-on-childrens-vulnerability-to-cell-phone-radio-frequency-radiation/" TargetMode="External"/><Relationship Id="rId57" Type="http://schemas.openxmlformats.org/officeDocument/2006/relationships/hyperlink" Target="https://www.sciencedirect.com/science/article/pii/S2213879X14000583" TargetMode="External"/><Relationship Id="rId10" Type="http://schemas.openxmlformats.org/officeDocument/2006/relationships/hyperlink" Target="https://www.who.int/news-room/fact-sheets/detail/ionizing-radiation-and-health-effects" TargetMode="External"/><Relationship Id="rId31" Type="http://schemas.openxmlformats.org/officeDocument/2006/relationships/hyperlink" Target="https://airestech.com/es/blogs/emf-education/electromagnetic-hypersensitivity?srsltid=AU7gw4WU6gEu27WYDT8j6eAfmgeX0mCMk52C_ne5W5TcRvGNoBvV7EB6" TargetMode="External"/><Relationship Id="rId44" Type="http://schemas.openxmlformats.org/officeDocument/2006/relationships/hyperlink" Target="https://airestech.com/blogs/digital-wellness/fetal-and-child-development-in-the-age-of-emfs?srsltid=AU7gw4Wrm7NQ0enixouAMYiV-wBC-NEoIrN0zaipRTgaxCzZtelqMpgQ" TargetMode="External"/><Relationship Id="rId52" Type="http://schemas.openxmlformats.org/officeDocument/2006/relationships/hyperlink" Target="https://ehtrust.org/science/scientific-imaging-cell-phone-wi-fi-radiation-exposures-human-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2225</Words>
  <Characters>12686</Characters>
  <Application>Microsoft Office Word</Application>
  <DocSecurity>0</DocSecurity>
  <Lines>105</Lines>
  <Paragraphs>29</Paragraphs>
  <ScaleCrop>false</ScaleCrop>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Martin</dc:creator>
  <cp:keywords/>
  <dc:description/>
  <cp:lastModifiedBy>Debra Martin</cp:lastModifiedBy>
  <cp:revision>1</cp:revision>
  <dcterms:created xsi:type="dcterms:W3CDTF">2026-09-26T03:27:00Z</dcterms:created>
  <dcterms:modified xsi:type="dcterms:W3CDTF">2026-09-26T03:34:00Z</dcterms:modified>
</cp:coreProperties>
</file>