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E5C2E"/>
          <w:sz w:val="40"/>
          <w:szCs w:val="40"/>
        </w:rPr>
        <w:t xml:space="preserve">RF RADIATION RESEARCH HISTORY</w:t>
      </w:r>
    </w:p>
    <w:p>
      <w:pPr>
        <w:spacing w:after="60" w:before="0"/>
        <w:jc w:val="center"/>
      </w:pPr>
      <w:r>
        <w:rPr>
          <w:rFonts w:ascii="Arial" w:cs="Arial" w:eastAsia="Arial" w:hAnsi="Arial"/>
          <w:b/>
          <w:bCs/>
          <w:color w:val="1E5C2E"/>
          <w:sz w:val="36"/>
          <w:szCs w:val="36"/>
        </w:rPr>
        <w:t xml:space="preserve">AND GLOBAL EXPOSURE STANDARDS</w:t>
      </w:r>
    </w:p>
    <w:p>
      <w:pPr>
        <w:spacing w:after="60" w:before="0"/>
        <w:jc w:val="center"/>
      </w:pPr>
      <w:r>
        <w:rPr>
          <w:rFonts w:ascii="Arial" w:cs="Arial" w:eastAsia="Arial" w:hAnsi="Arial"/>
          <w:color w:val="145214"/>
          <w:sz w:val="26"/>
          <w:szCs w:val="26"/>
        </w:rPr>
        <w:t xml:space="preserve">What the Science Shows — and Why Nations Disagree</w:t>
      </w:r>
    </w:p>
    <w:p>
      <w:pPr>
        <w:pBdr>
          <w:bottom w:val="single" w:color="1E5C2E" w:sz="6" w:space="4"/>
        </w:pBdr>
        <w:spacing w:after="360" w:before="60"/>
        <w:jc w:val="center"/>
      </w:pPr>
      <w:r>
        <w:rPr>
          <w:rFonts w:ascii="Arial" w:cs="Arial" w:eastAsia="Arial" w:hAnsi="Arial"/>
          <w:i/>
          <w:iCs/>
          <w:color w:val="888888"/>
          <w:sz w:val="20"/>
          <w:szCs w:val="20"/>
        </w:rPr>
        <w:t xml:space="preserve">10 Million Moms for Safer Telecom™  |  2026</w:t>
      </w:r>
    </w:p>
    <w:p>
      <w:pPr>
        <w:pStyle w:val="Heading1"/>
        <w:pBdr>
          <w:bottom w:val="single" w:color="1E5C2E" w:sz="6" w:space="1"/>
        </w:pBdr>
        <w:spacing w:after="180" w:before="360"/>
      </w:pPr>
      <w:r>
        <w:rPr>
          <w:rFonts w:ascii="Arial" w:cs="Arial" w:eastAsia="Arial" w:hAnsi="Arial"/>
          <w:b/>
          <w:bCs/>
          <w:color w:val="1E5C2E"/>
          <w:sz w:val="32"/>
          <w:szCs w:val="32"/>
        </w:rPr>
        <w:t xml:space="preserve">Introduction: A 70-Year Research History</w:t>
      </w:r>
    </w:p>
    <w:p>
      <w:pPr>
        <w:spacing w:after="120" w:before="60"/>
      </w:pPr>
      <w:r>
        <w:rPr>
          <w:rFonts w:ascii="Arial" w:cs="Arial" w:eastAsia="Arial" w:hAnsi="Arial"/>
          <w:sz w:val="22"/>
          <w:szCs w:val="22"/>
        </w:rPr>
        <w:t xml:space="preserve">Public discourse around the health effects of radiofrequency (RF) electromagnetic fields frequently treats this as a new or unsettled question. In fact, research into the biological effects of RF radiation has been ongoing since the 1950s, with the most comprehensive early body of work emerging from Soviet occupational health programs. The knowledge gap between what has been researched and what Western public health agencies acknowledge is one of the central issues in this field.</w:t>
      </w:r>
    </w:p>
    <w:p>
      <w:pPr>
        <w:spacing w:after="120" w:before="0"/>
      </w:pPr>
      <w:r>
        <w:t xml:space="preserve"/>
      </w:r>
    </w:p>
    <w:p>
      <w:pPr>
        <w:pStyle w:val="Heading1"/>
        <w:pBdr>
          <w:bottom w:val="single" w:color="1E5C2E" w:sz="6" w:space="1"/>
        </w:pBdr>
        <w:spacing w:after="180" w:before="360"/>
      </w:pPr>
      <w:r>
        <w:rPr>
          <w:rFonts w:ascii="Arial" w:cs="Arial" w:eastAsia="Arial" w:hAnsi="Arial"/>
          <w:b/>
          <w:bCs/>
          <w:color w:val="1E5C2E"/>
          <w:sz w:val="32"/>
          <w:szCs w:val="32"/>
        </w:rPr>
        <w:t xml:space="preserve">The Soviet and Russian Research Legacy (1960s–1990s)</w:t>
      </w:r>
    </w:p>
    <w:p>
      <w:pPr>
        <w:spacing w:after="120" w:before="60"/>
      </w:pPr>
      <w:r>
        <w:rPr>
          <w:rFonts w:ascii="Arial" w:cs="Arial" w:eastAsia="Arial" w:hAnsi="Arial"/>
          <w:sz w:val="22"/>
          <w:szCs w:val="22"/>
        </w:rPr>
        <w:t xml:space="preserve">The Soviet Union undertook the most extensive systematic program of RF bioeffects research conducted by any nation. Beginning in the late 1950s and continuing through the collapse of the USSR, Soviet researchers:</w:t>
      </w:r>
    </w:p>
    <w:p>
      <w:pPr>
        <w:spacing w:after="120" w:before="0"/>
      </w:pPr>
      <w:r>
        <w:t xml:space="preserve"/>
      </w:r>
    </w:p>
    <w:p>
      <w:pPr>
        <w:pStyle w:val="ListParagraph"/>
        <w:numPr>
          <w:ilvl w:val="0"/>
          <w:numId w:val="2"/>
        </w:numPr>
        <w:spacing w:after="60" w:before="40"/>
      </w:pPr>
      <w:r>
        <w:rPr>
          <w:rFonts w:ascii="Arial" w:cs="Arial" w:eastAsia="Arial" w:hAnsi="Arial"/>
          <w:sz w:val="22"/>
          <w:szCs w:val="22"/>
        </w:rPr>
        <w:t xml:space="preserve">Conducted more than 800 studies on radio-frequency radiation effects on workers in telecommunications, radar, and military communications roles.</w:t>
      </w:r>
    </w:p>
    <w:p>
      <w:pPr>
        <w:pStyle w:val="ListParagraph"/>
        <w:numPr>
          <w:ilvl w:val="0"/>
          <w:numId w:val="2"/>
        </w:numPr>
        <w:spacing w:after="60" w:before="40"/>
      </w:pPr>
      <w:r>
        <w:rPr>
          <w:rFonts w:ascii="Arial" w:cs="Arial" w:eastAsia="Arial" w:hAnsi="Arial"/>
          <w:sz w:val="22"/>
          <w:szCs w:val="22"/>
        </w:rPr>
        <w:t xml:space="preserve">Documented a consistent syndrome in chronically exposed workers — including fatigue, sleep disturbance, headache, cardiovascular changes, memory impairment, and immune system disruption — which they termed "radiofrequency sickness" or "microwave syndrome."</w:t>
      </w:r>
    </w:p>
    <w:p>
      <w:pPr>
        <w:pStyle w:val="ListParagraph"/>
        <w:numPr>
          <w:ilvl w:val="0"/>
          <w:numId w:val="2"/>
        </w:numPr>
        <w:spacing w:after="60" w:before="40"/>
      </w:pPr>
      <w:r>
        <w:rPr>
          <w:rFonts w:ascii="Arial" w:cs="Arial" w:eastAsia="Arial" w:hAnsi="Arial"/>
          <w:sz w:val="22"/>
          <w:szCs w:val="22"/>
        </w:rPr>
        <w:t xml:space="preserve">Established that biological effects occurred at exposure levels far below those needed to produce measurable tissue heating — challenging the thermal-only model that would later dominate Western regulatory thinking.</w:t>
      </w:r>
    </w:p>
    <w:p>
      <w:pPr>
        <w:pStyle w:val="ListParagraph"/>
        <w:numPr>
          <w:ilvl w:val="0"/>
          <w:numId w:val="2"/>
        </w:numPr>
        <w:spacing w:after="60" w:before="40"/>
      </w:pPr>
      <w:r>
        <w:rPr>
          <w:rFonts w:ascii="Arial" w:cs="Arial" w:eastAsia="Arial" w:hAnsi="Arial"/>
          <w:sz w:val="22"/>
          <w:szCs w:val="22"/>
        </w:rPr>
        <w:t xml:space="preserve">Set public exposure limits in the range of 0.01–0.1 W/m² — between 100 and 1,000 times more protective than current US Federal Communications Commission (FCC) limits.</w:t>
      </w:r>
    </w:p>
    <w:p>
      <w:pPr>
        <w:spacing w:after="120" w:before="0"/>
      </w:pPr>
      <w:r>
        <w:t xml:space="preserve"/>
      </w:r>
    </w:p>
    <w:p>
      <w:pPr>
        <w:spacing w:after="120" w:before="60"/>
      </w:pPr>
      <w:r>
        <w:rPr>
          <w:rFonts w:ascii="Arial" w:cs="Arial" w:eastAsia="Arial" w:hAnsi="Arial"/>
          <w:sz w:val="22"/>
          <w:szCs w:val="22"/>
        </w:rPr>
        <w:t xml:space="preserve">This research was not obscure. The US Department of Defense formally recognized the Soviet work and commissioned multiple US military branches to investigate RF health effects in response. The US Armed Forces reviewed Soviet findings in classified and unclassified reports throughout the Cold War period.</w:t>
      </w:r>
    </w:p>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8F5E9" w:val="clear"/>
            <w:tcMar>
              <w:top w:type="dxa" w:w="120"/>
              <w:left w:type="dxa" w:w="180"/>
              <w:bottom w:type="dxa" w:w="120"/>
              <w:right w:type="dxa" w:w="180"/>
            </w:tcMar>
          </w:tcPr>
          <w:p>
            <w:r>
              <w:rPr>
                <w:rFonts w:ascii="Arial" w:cs="Arial" w:eastAsia="Arial" w:hAnsi="Arial"/>
                <w:b/>
                <w:bCs/>
                <w:color w:val="1E5C2E"/>
                <w:sz w:val="22"/>
                <w:szCs w:val="22"/>
              </w:rPr>
              <w:t xml:space="preserve">The Moscow Embassy Incident</w:t>
            </w:r>
          </w:p>
          <w:p>
            <w:pPr>
              <w:spacing w:before="60"/>
            </w:pPr>
            <w:r>
              <w:rPr>
                <w:rFonts w:ascii="Arial" w:cs="Arial" w:eastAsia="Arial" w:hAnsi="Arial"/>
                <w:i/>
                <w:iCs/>
                <w:sz w:val="22"/>
                <w:szCs w:val="22"/>
              </w:rPr>
              <w:t xml:space="preserve">From the 1950s to 1979, the Soviet Union directed microwave radiation at the US Embassy in Moscow — at frequencies of 2.5–4.0 GHz, overlapping with modern Wi-Fi and cellular bands. The exposure level was approximately 500 times below US occupational standards, but was twice the maximum allowed under Soviet standards. US embassy personnel showed statistically significant increases in depression, irritability, memory loss, concentration problems, and vascular issues. The Soviets knew, from their own research, that their standards were set at meaningful biological thresholds.</w:t>
            </w:r>
          </w:p>
        </w:tc>
      </w:tr>
    </w:tbl>
    <w:p>
      <w:pPr>
        <w:spacing w:after="120" w:before="0"/>
      </w:pPr>
      <w:r>
        <w:t xml:space="preserve"/>
      </w:r>
    </w:p>
    <w:p>
      <w:pPr>
        <w:pStyle w:val="Heading1"/>
        <w:pBdr>
          <w:bottom w:val="single" w:color="1E5C2E" w:sz="6" w:space="1"/>
        </w:pBdr>
        <w:spacing w:after="180" w:before="360"/>
      </w:pPr>
      <w:r>
        <w:rPr>
          <w:rFonts w:ascii="Arial" w:cs="Arial" w:eastAsia="Arial" w:hAnsi="Arial"/>
          <w:b/>
          <w:bCs/>
          <w:color w:val="1E5C2E"/>
          <w:sz w:val="32"/>
          <w:szCs w:val="32"/>
        </w:rPr>
        <w:t xml:space="preserve">Landmark Animal Studies: NTP and Ramazzini (2018)</w:t>
      </w:r>
    </w:p>
    <w:p>
      <w:pPr>
        <w:spacing w:after="120" w:before="60"/>
      </w:pPr>
      <w:r>
        <w:rPr>
          <w:rFonts w:ascii="Arial" w:cs="Arial" w:eastAsia="Arial" w:hAnsi="Arial"/>
          <w:sz w:val="22"/>
          <w:szCs w:val="22"/>
        </w:rPr>
        <w:t xml:space="preserve">Two of the most consequential studies in RF research were published within weeks of each other in 2018, conducted independently on two continents using different methodologies — and reached consistent conclusions.</w:t>
      </w:r>
    </w:p>
    <w:p>
      <w:pPr>
        <w:spacing w:after="120" w:before="0"/>
      </w:pPr>
      <w:r>
        <w:t xml:space="preserve"/>
      </w:r>
    </w:p>
    <w:p>
      <w:pPr>
        <w:pStyle w:val="Heading2"/>
        <w:spacing w:after="120" w:before="240"/>
      </w:pPr>
      <w:r>
        <w:rPr>
          <w:rFonts w:ascii="Arial" w:cs="Arial" w:eastAsia="Arial" w:hAnsi="Arial"/>
          <w:b/>
          <w:bCs/>
          <w:color w:val="145214"/>
          <w:sz w:val="26"/>
          <w:szCs w:val="26"/>
        </w:rPr>
        <w:t xml:space="preserve">US National Toxicology Program (NTP) Study</w:t>
      </w:r>
    </w:p>
    <w:p>
      <w:pPr>
        <w:pStyle w:val="ListParagraph"/>
        <w:numPr>
          <w:ilvl w:val="0"/>
          <w:numId w:val="2"/>
        </w:numPr>
        <w:spacing w:after="60" w:before="40"/>
      </w:pPr>
      <w:r>
        <w:rPr>
          <w:rFonts w:ascii="Arial" w:cs="Arial" w:eastAsia="Arial" w:hAnsi="Arial"/>
          <w:sz w:val="22"/>
          <w:szCs w:val="22"/>
        </w:rPr>
        <w:t xml:space="preserve">Funded at approximately $30 million — the largest animal study of RF radiation ever conducted in the United States.</w:t>
      </w:r>
    </w:p>
    <w:p>
      <w:pPr>
        <w:pStyle w:val="ListParagraph"/>
        <w:numPr>
          <w:ilvl w:val="0"/>
          <w:numId w:val="2"/>
        </w:numPr>
        <w:spacing w:after="60" w:before="40"/>
      </w:pPr>
      <w:r>
        <w:rPr>
          <w:rFonts w:ascii="Arial" w:cs="Arial" w:eastAsia="Arial" w:hAnsi="Arial"/>
          <w:sz w:val="22"/>
          <w:szCs w:val="22"/>
        </w:rPr>
        <w:t xml:space="preserve">Rats were exposed to GSM and CDMA modulated cell phone radiofrequency radiation throughout their lives.</w:t>
      </w:r>
    </w:p>
    <w:p>
      <w:pPr>
        <w:pStyle w:val="ListParagraph"/>
        <w:numPr>
          <w:ilvl w:val="0"/>
          <w:numId w:val="2"/>
        </w:numPr>
        <w:spacing w:after="60" w:before="40"/>
      </w:pPr>
      <w:r>
        <w:rPr>
          <w:rFonts w:ascii="Arial" w:cs="Arial" w:eastAsia="Arial" w:hAnsi="Arial"/>
          <w:sz w:val="22"/>
          <w:szCs w:val="22"/>
        </w:rPr>
        <w:t xml:space="preserve">The NTP concluded there was clear evidence of carcinogenic activity based on malignant schwannomas of the heart in male rats.</w:t>
      </w:r>
    </w:p>
    <w:p>
      <w:pPr>
        <w:pStyle w:val="ListParagraph"/>
        <w:numPr>
          <w:ilvl w:val="0"/>
          <w:numId w:val="2"/>
        </w:numPr>
        <w:spacing w:after="60" w:before="40"/>
      </w:pPr>
      <w:r>
        <w:rPr>
          <w:rFonts w:ascii="Arial" w:cs="Arial" w:eastAsia="Arial" w:hAnsi="Arial"/>
          <w:sz w:val="22"/>
          <w:szCs w:val="22"/>
        </w:rPr>
        <w:t xml:space="preserve">Malignant gliomas of the brain were also observed in male rats and considered exposure-related.</w:t>
      </w:r>
    </w:p>
    <w:p>
      <w:pPr>
        <w:pStyle w:val="ListParagraph"/>
        <w:numPr>
          <w:ilvl w:val="0"/>
          <w:numId w:val="2"/>
        </w:numPr>
        <w:spacing w:after="60" w:before="40"/>
      </w:pPr>
      <w:r>
        <w:rPr>
          <w:rFonts w:ascii="Arial" w:cs="Arial" w:eastAsia="Arial" w:hAnsi="Arial"/>
          <w:sz w:val="22"/>
          <w:szCs w:val="22"/>
        </w:rPr>
        <w:t xml:space="preserve">Additional findings included DNA damage in the brain cells of exposed animals, degeneration of heart tissue, and decreased birth weights in prenatally exposed offspring.</w:t>
      </w:r>
    </w:p>
    <w:p>
      <w:pPr>
        <w:spacing w:after="120" w:before="0"/>
      </w:pPr>
      <w:r>
        <w:t xml:space="preserve"/>
      </w:r>
    </w:p>
    <w:p>
      <w:pPr>
        <w:pStyle w:val="Heading2"/>
        <w:spacing w:after="120" w:before="240"/>
      </w:pPr>
      <w:r>
        <w:rPr>
          <w:rFonts w:ascii="Arial" w:cs="Arial" w:eastAsia="Arial" w:hAnsi="Arial"/>
          <w:b/>
          <w:bCs/>
          <w:color w:val="145214"/>
          <w:sz w:val="26"/>
          <w:szCs w:val="26"/>
        </w:rPr>
        <w:t xml:space="preserve">Ramazzini Institute Study (Italy)</w:t>
      </w:r>
    </w:p>
    <w:p>
      <w:pPr>
        <w:pStyle w:val="ListParagraph"/>
        <w:numPr>
          <w:ilvl w:val="0"/>
          <w:numId w:val="2"/>
        </w:numPr>
        <w:spacing w:after="60" w:before="40"/>
      </w:pPr>
      <w:r>
        <w:rPr>
          <w:rFonts w:ascii="Arial" w:cs="Arial" w:eastAsia="Arial" w:hAnsi="Arial"/>
          <w:sz w:val="22"/>
          <w:szCs w:val="22"/>
        </w:rPr>
        <w:t xml:space="preserve">The world's largest animal study conducted on cell tower (far-field) rather than cell phone (near-field) radiation levels.</w:t>
      </w:r>
    </w:p>
    <w:p>
      <w:pPr>
        <w:pStyle w:val="ListParagraph"/>
        <w:numPr>
          <w:ilvl w:val="0"/>
          <w:numId w:val="2"/>
        </w:numPr>
        <w:spacing w:after="60" w:before="40"/>
      </w:pPr>
      <w:r>
        <w:rPr>
          <w:rFonts w:ascii="Arial" w:cs="Arial" w:eastAsia="Arial" w:hAnsi="Arial"/>
          <w:sz w:val="22"/>
          <w:szCs w:val="22"/>
        </w:rPr>
        <w:t xml:space="preserve">Exposure levels at the highest dose group were approximately 1/1,000 of the levels used in the NTP study, designed to mimic real-world environmental exposure from base station antennas.</w:t>
      </w:r>
    </w:p>
    <w:p>
      <w:pPr>
        <w:pStyle w:val="ListParagraph"/>
        <w:numPr>
          <w:ilvl w:val="0"/>
          <w:numId w:val="2"/>
        </w:numPr>
        <w:spacing w:after="60" w:before="40"/>
      </w:pPr>
      <w:r>
        <w:rPr>
          <w:rFonts w:ascii="Arial" w:cs="Arial" w:eastAsia="Arial" w:hAnsi="Arial"/>
          <w:sz w:val="22"/>
          <w:szCs w:val="22"/>
        </w:rPr>
        <w:t xml:space="preserve">Results: a statistically significant increase in the same tumor type — malignant schwannomas of the heart — in male rats.</w:t>
      </w:r>
    </w:p>
    <w:p>
      <w:pPr>
        <w:pStyle w:val="ListParagraph"/>
        <w:numPr>
          <w:ilvl w:val="0"/>
          <w:numId w:val="2"/>
        </w:numPr>
        <w:spacing w:after="60" w:before="40"/>
      </w:pPr>
      <w:r>
        <w:rPr>
          <w:rFonts w:ascii="Arial" w:cs="Arial" w:eastAsia="Arial" w:hAnsi="Arial"/>
          <w:sz w:val="22"/>
          <w:szCs w:val="22"/>
        </w:rPr>
        <w:t xml:space="preserve">Malignant brain gliomas were also observed in treated female rats.</w:t>
      </w:r>
    </w:p>
    <w:p>
      <w:pPr>
        <w:pStyle w:val="ListParagraph"/>
        <w:numPr>
          <w:ilvl w:val="0"/>
          <w:numId w:val="2"/>
        </w:numPr>
        <w:spacing w:after="60" w:before="40"/>
      </w:pPr>
      <w:r>
        <w:rPr>
          <w:rFonts w:ascii="Arial" w:cs="Arial" w:eastAsia="Arial" w:hAnsi="Arial"/>
          <w:sz w:val="22"/>
          <w:szCs w:val="22"/>
        </w:rPr>
        <w:t xml:space="preserve">The Ramazzini results are particularly significant because they occurred at exposure levels within — or comparable to — the public exposure limits set by ICNIRP and adopted by most countries.</w:t>
      </w:r>
    </w:p>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8F5E9" w:val="clear"/>
            <w:tcMar>
              <w:top w:type="dxa" w:w="120"/>
              <w:left w:type="dxa" w:w="180"/>
              <w:bottom w:type="dxa" w:w="120"/>
              <w:right w:type="dxa" w:w="180"/>
            </w:tcMar>
          </w:tcPr>
          <w:p>
            <w:r>
              <w:rPr>
                <w:rFonts w:ascii="Arial" w:cs="Arial" w:eastAsia="Arial" w:hAnsi="Arial"/>
                <w:b/>
                <w:bCs/>
                <w:color w:val="1E5C2E"/>
                <w:sz w:val="22"/>
                <w:szCs w:val="22"/>
              </w:rPr>
              <w:t xml:space="preserve">Significance of the convergence</w:t>
            </w:r>
          </w:p>
          <w:p>
            <w:pPr>
              <w:spacing w:before="60"/>
            </w:pPr>
            <w:r>
              <w:rPr>
                <w:rFonts w:ascii="Arial" w:cs="Arial" w:eastAsia="Arial" w:hAnsi="Arial"/>
                <w:i/>
                <w:iCs/>
                <w:sz w:val="22"/>
                <w:szCs w:val="22"/>
              </w:rPr>
              <w:t xml:space="preserve">Two independent, large-scale, life-span animal studies conducted on different continents using different exposure systems and different dosages found the same rare tumor type in the same organ. In toxicology, independent replication is the gold standard of evidence. Senior researchers, including former NTP scientists and the retired director of INSERM's (French NIH) cancer research program, called for IARC to upgrade its classification of RF radiation from Group 2B (possible carcinogen) to Group 1 (known carcinogen). As of 2025, that re-evaluation remains pending.</w:t>
            </w:r>
          </w:p>
        </w:tc>
      </w:tr>
    </w:tbl>
    <w:p>
      <w:pPr>
        <w:spacing w:after="120" w:before="0"/>
      </w:pPr>
      <w:r>
        <w:t xml:space="preserve"/>
      </w:r>
    </w:p>
    <w:p>
      <w:pPr>
        <w:pStyle w:val="Heading1"/>
        <w:pBdr>
          <w:bottom w:val="single" w:color="1E5C2E" w:sz="6" w:space="1"/>
        </w:pBdr>
        <w:spacing w:after="180" w:before="360"/>
      </w:pPr>
      <w:r>
        <w:rPr>
          <w:rFonts w:ascii="Arial" w:cs="Arial" w:eastAsia="Arial" w:hAnsi="Arial"/>
          <w:b/>
          <w:bCs/>
          <w:color w:val="1E5C2E"/>
          <w:sz w:val="32"/>
          <w:szCs w:val="32"/>
        </w:rPr>
        <w:t xml:space="preserve">The ICNIRP Standard and Its Limitations</w:t>
      </w:r>
    </w:p>
    <w:p>
      <w:pPr>
        <w:spacing w:after="120" w:before="60"/>
      </w:pPr>
      <w:r>
        <w:rPr>
          <w:rFonts w:ascii="Arial" w:cs="Arial" w:eastAsia="Arial" w:hAnsi="Arial"/>
          <w:sz w:val="22"/>
          <w:szCs w:val="22"/>
        </w:rPr>
        <w:t xml:space="preserve">The International Commission on Non-Ionizing Radiation Protection (ICNIRP) is a private scientific body based in Germany that has historically set the global baseline for RF exposure limits. Most countries — including the United States (via the FCC), the United Kingdom, Australia, and most of the European Union — have adopted ICNIRP guidelines either directly or with minor modifications.</w:t>
      </w:r>
    </w:p>
    <w:p>
      <w:pPr>
        <w:spacing w:after="120" w:before="0"/>
      </w:pPr>
      <w:r>
        <w:t xml:space="preserve"/>
      </w:r>
    </w:p>
    <w:p>
      <w:pPr>
        <w:spacing w:after="120" w:before="60"/>
      </w:pPr>
      <w:r>
        <w:rPr>
          <w:rFonts w:ascii="Arial" w:cs="Arial" w:eastAsia="Arial" w:hAnsi="Arial"/>
          <w:sz w:val="22"/>
          <w:szCs w:val="22"/>
        </w:rPr>
        <w:t xml:space="preserve">Critical limitations of ICNIRP's approach:</w:t>
      </w:r>
    </w:p>
    <w:p>
      <w:pPr>
        <w:spacing w:after="120" w:before="0"/>
      </w:pPr>
      <w:r>
        <w:t xml:space="preserve"/>
      </w:r>
    </w:p>
    <w:p>
      <w:pPr>
        <w:pStyle w:val="ListParagraph"/>
        <w:numPr>
          <w:ilvl w:val="0"/>
          <w:numId w:val="2"/>
        </w:numPr>
        <w:spacing w:after="60" w:before="40"/>
      </w:pPr>
      <w:r>
        <w:rPr>
          <w:rFonts w:ascii="Arial" w:cs="Arial" w:eastAsia="Arial" w:hAnsi="Arial"/>
          <w:sz w:val="22"/>
          <w:szCs w:val="22"/>
        </w:rPr>
        <w:t xml:space="preserve">ICNIRP limits are based exclusively on thermal effects — the amount of RF energy needed to raise tissue temperature by a measurable amount. Non-thermal biological effects, even those documented in peer-reviewed research, are not considered in setting limits.</w:t>
      </w:r>
    </w:p>
    <w:p>
      <w:pPr>
        <w:pStyle w:val="ListParagraph"/>
        <w:numPr>
          <w:ilvl w:val="0"/>
          <w:numId w:val="2"/>
        </w:numPr>
        <w:spacing w:after="60" w:before="40"/>
      </w:pPr>
      <w:r>
        <w:rPr>
          <w:rFonts w:ascii="Arial" w:cs="Arial" w:eastAsia="Arial" w:hAnsi="Arial"/>
          <w:sz w:val="22"/>
          <w:szCs w:val="22"/>
        </w:rPr>
        <w:t xml:space="preserve">The US FCC's current exposure guidelines were last substantively updated in 1996 — before widespread smartphone use, Wi-Fi, smart meters, or 5G networks.</w:t>
      </w:r>
    </w:p>
    <w:p>
      <w:pPr>
        <w:pStyle w:val="ListParagraph"/>
        <w:numPr>
          <w:ilvl w:val="0"/>
          <w:numId w:val="2"/>
        </w:numPr>
        <w:spacing w:after="60" w:before="40"/>
      </w:pPr>
      <w:r>
        <w:rPr>
          <w:rFonts w:ascii="Arial" w:cs="Arial" w:eastAsia="Arial" w:hAnsi="Arial"/>
          <w:sz w:val="22"/>
          <w:szCs w:val="22"/>
        </w:rPr>
        <w:t xml:space="preserve">A 2019 US federal court ruling found the FCC had acted "arbitrarily and capriciously" in refusing to update its RF safety rules and ordered the commission to respond to evidence of non-thermal harm. The FCC's subsequent response was criticized by independent scientists as inadequate.</w:t>
      </w:r>
    </w:p>
    <w:p>
      <w:pPr>
        <w:pStyle w:val="ListParagraph"/>
        <w:numPr>
          <w:ilvl w:val="0"/>
          <w:numId w:val="2"/>
        </w:numPr>
        <w:spacing w:after="60" w:before="40"/>
      </w:pPr>
      <w:r>
        <w:rPr>
          <w:rFonts w:ascii="Arial" w:cs="Arial" w:eastAsia="Arial" w:hAnsi="Arial"/>
          <w:sz w:val="22"/>
          <w:szCs w:val="22"/>
        </w:rPr>
        <w:t xml:space="preserve">Multiple independent researchers have documented conflicts of interest among ICNIRP commission members, including ties to the telecommunications industry.</w:t>
      </w:r>
    </w:p>
    <w:p>
      <w:pPr>
        <w:pStyle w:val="ListParagraph"/>
        <w:numPr>
          <w:ilvl w:val="0"/>
          <w:numId w:val="2"/>
        </w:numPr>
        <w:spacing w:after="60" w:before="40"/>
      </w:pPr>
      <w:r>
        <w:rPr>
          <w:rFonts w:ascii="Arial" w:cs="Arial" w:eastAsia="Arial" w:hAnsi="Arial"/>
          <w:sz w:val="22"/>
          <w:szCs w:val="22"/>
        </w:rPr>
        <w:t xml:space="preserve">The BioInitiative Working Group — an international consortium of scientists, doctors, and researchers — has published comprehensive reviews concluding that existing limits fail to protect against documented non-thermal biological effects.</w:t>
      </w:r>
    </w:p>
    <w:p>
      <w:pPr>
        <w:spacing w:after="120" w:before="0"/>
      </w:pPr>
      <w:r>
        <w:t xml:space="preserve"/>
      </w:r>
    </w:p>
    <w:p>
      <w:pPr>
        <w:pStyle w:val="Heading1"/>
        <w:pBdr>
          <w:bottom w:val="single" w:color="1E5C2E" w:sz="6" w:space="1"/>
        </w:pBdr>
        <w:spacing w:after="180" w:before="360"/>
      </w:pPr>
      <w:r>
        <w:rPr>
          <w:rFonts w:ascii="Arial" w:cs="Arial" w:eastAsia="Arial" w:hAnsi="Arial"/>
          <w:b/>
          <w:bCs/>
          <w:color w:val="1E5C2E"/>
          <w:sz w:val="32"/>
          <w:szCs w:val="32"/>
        </w:rPr>
        <w:t xml:space="preserve">Global Exposure Standards: A Comparison</w:t>
      </w:r>
    </w:p>
    <w:p>
      <w:pPr>
        <w:spacing w:after="120" w:before="60"/>
      </w:pPr>
      <w:r>
        <w:rPr>
          <w:rFonts w:ascii="Arial" w:cs="Arial" w:eastAsia="Arial" w:hAnsi="Arial"/>
          <w:sz w:val="22"/>
          <w:szCs w:val="22"/>
        </w:rPr>
        <w:t xml:space="preserve">The following table illustrates the wide divergence in national RF public exposure limits. All figures are approximate at ~1800 MHz (a standard cellular frequency). Lower values represent more protective standards.</w:t>
      </w:r>
    </w:p>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2880"/>
        <w:gridCol w:w="1800"/>
        <w:gridCol w:w="1800"/>
      </w:tblGrid>
      <w:tr>
        <w:trPr>
          <w:tblHeader/>
        </w:trPr>
        <w:tc>
          <w:tcPr>
            <w:tcW w:type="dxa" w:w="2880"/>
            <w:tcBorders>
              <w:top w:val="single" w:color="CCCCCC" w:sz="1"/>
              <w:left w:val="single" w:color="CCCCCC" w:sz="1"/>
              <w:bottom w:val="single" w:color="CCCCCC" w:sz="1"/>
              <w:right w:val="single" w:color="CCCCCC" w:sz="1"/>
            </w:tcBorders>
            <w:shd w:fill="1E5C2E" w:val="clear"/>
            <w:tcMar>
              <w:top w:type="dxa" w:w="80"/>
              <w:left w:type="dxa" w:w="120"/>
              <w:bottom w:type="dxa" w:w="80"/>
              <w:right w:type="dxa" w:w="120"/>
            </w:tcMar>
          </w:tcPr>
          <w:p>
            <w:r>
              <w:rPr>
                <w:rFonts w:ascii="Arial" w:cs="Arial" w:eastAsia="Arial" w:hAnsi="Arial"/>
                <w:b/>
                <w:bCs/>
                <w:color w:val="FFFFFF"/>
                <w:sz w:val="20"/>
                <w:szCs w:val="20"/>
              </w:rPr>
              <w:t xml:space="preserve">Country / Standard</w:t>
            </w:r>
          </w:p>
        </w:tc>
        <w:tc>
          <w:tcPr>
            <w:tcW w:type="dxa" w:w="2880"/>
            <w:tcBorders>
              <w:top w:val="single" w:color="CCCCCC" w:sz="1"/>
              <w:left w:val="single" w:color="CCCCCC" w:sz="1"/>
              <w:bottom w:val="single" w:color="CCCCCC" w:sz="1"/>
              <w:right w:val="single" w:color="CCCCCC" w:sz="1"/>
            </w:tcBorders>
            <w:shd w:fill="1E5C2E" w:val="clear"/>
            <w:tcMar>
              <w:top w:type="dxa" w:w="80"/>
              <w:left w:type="dxa" w:w="120"/>
              <w:bottom w:type="dxa" w:w="80"/>
              <w:right w:type="dxa" w:w="120"/>
            </w:tcMar>
          </w:tcPr>
          <w:p>
            <w:r>
              <w:rPr>
                <w:rFonts w:ascii="Arial" w:cs="Arial" w:eastAsia="Arial" w:hAnsi="Arial"/>
                <w:b/>
                <w:bCs/>
                <w:color w:val="FFFFFF"/>
                <w:sz w:val="20"/>
                <w:szCs w:val="20"/>
              </w:rPr>
              <w:t xml:space="preserve">Regulatory Basis</w:t>
            </w:r>
          </w:p>
        </w:tc>
        <w:tc>
          <w:tcPr>
            <w:tcW w:type="dxa" w:w="1800"/>
            <w:tcBorders>
              <w:top w:val="single" w:color="CCCCCC" w:sz="1"/>
              <w:left w:val="single" w:color="CCCCCC" w:sz="1"/>
              <w:bottom w:val="single" w:color="CCCCCC" w:sz="1"/>
              <w:right w:val="single" w:color="CCCCCC" w:sz="1"/>
            </w:tcBorders>
            <w:shd w:fill="1E5C2E" w:val="clear"/>
            <w:tcMar>
              <w:top w:type="dxa" w:w="80"/>
              <w:left w:type="dxa" w:w="120"/>
              <w:bottom w:type="dxa" w:w="80"/>
              <w:right w:type="dxa" w:w="120"/>
            </w:tcMar>
          </w:tcPr>
          <w:p>
            <w:r>
              <w:rPr>
                <w:rFonts w:ascii="Arial" w:cs="Arial" w:eastAsia="Arial" w:hAnsi="Arial"/>
                <w:b/>
                <w:bCs/>
                <w:color w:val="FFFFFF"/>
                <w:sz w:val="20"/>
                <w:szCs w:val="20"/>
              </w:rPr>
              <w:t xml:space="preserve">Limit (~1800 MHz)</w:t>
            </w:r>
          </w:p>
        </w:tc>
        <w:tc>
          <w:tcPr>
            <w:tcW w:type="dxa" w:w="1800"/>
            <w:tcBorders>
              <w:top w:val="single" w:color="CCCCCC" w:sz="1"/>
              <w:left w:val="single" w:color="CCCCCC" w:sz="1"/>
              <w:bottom w:val="single" w:color="CCCCCC" w:sz="1"/>
              <w:right w:val="single" w:color="CCCCCC" w:sz="1"/>
            </w:tcBorders>
            <w:shd w:fill="1E5C2E" w:val="clear"/>
            <w:tcMar>
              <w:top w:type="dxa" w:w="80"/>
              <w:left w:type="dxa" w:w="120"/>
              <w:bottom w:type="dxa" w:w="80"/>
              <w:right w:type="dxa" w:w="120"/>
            </w:tcMar>
          </w:tcPr>
          <w:p>
            <w:r>
              <w:rPr>
                <w:rFonts w:ascii="Arial" w:cs="Arial" w:eastAsia="Arial" w:hAnsi="Arial"/>
                <w:b/>
                <w:bCs/>
                <w:color w:val="FFFFFF"/>
                <w:sz w:val="20"/>
                <w:szCs w:val="20"/>
              </w:rPr>
              <w:t xml:space="preserve">vs. ICNIRP</w:t>
            </w:r>
          </w:p>
        </w:tc>
      </w:tr>
      <w:tr>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Japan</w:t>
            </w:r>
          </w:p>
        </w:tc>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Thermal (FCC-aligned)</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13.3 W/m²</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~148%</w:t>
            </w:r>
          </w:p>
        </w:tc>
      </w:tr>
      <w:tr>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USA / Canada</w:t>
            </w:r>
          </w:p>
        </w:tc>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Thermal — FCC (1996, unchanged)</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10 W/m²</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~111%</w:t>
            </w:r>
          </w:p>
        </w:tc>
      </w:tr>
      <w:tr>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ICNIRP (most EU, UK, Australia)</w:t>
            </w:r>
          </w:p>
        </w:tc>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Thermal</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9 W/m²</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baseline</w:t>
            </w:r>
          </w:p>
        </w:tc>
      </w:tr>
      <w:tr>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Germany</w:t>
            </w:r>
          </w:p>
        </w:tc>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ICNIRP + precautionary consultation</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9 W/m²</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baseline</w:t>
            </w:r>
          </w:p>
        </w:tc>
      </w:tr>
      <w:tr>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Greece (general area)</w:t>
            </w:r>
          </w:p>
        </w:tc>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Partial precautionary</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6.3 W/m²</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70%</w:t>
            </w:r>
          </w:p>
        </w:tc>
      </w:tr>
      <w:tr>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Greece (near schools/hospitals)</w:t>
            </w:r>
          </w:p>
        </w:tc>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Precautionary for children</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5.4 W/m²</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60%</w:t>
            </w:r>
          </w:p>
        </w:tc>
      </w:tr>
      <w:tr>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Italy (2024 updated)</w:t>
            </w:r>
          </w:p>
        </w:tc>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Precautionary (was 6 V/m)</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3 W/m²</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33%</w:t>
            </w:r>
          </w:p>
        </w:tc>
      </w:tr>
      <w:tr>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Turkey — ICTA</w:t>
            </w:r>
          </w:p>
        </w:tc>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1/10 of ICNIRP standard</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0.9 W/m²</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10%</w:t>
            </w:r>
          </w:p>
        </w:tc>
      </w:tr>
      <w:tr>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China — GB 8702</w:t>
            </w:r>
          </w:p>
        </w:tc>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Non-thermal / precautionary</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0.4 W/m²</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4.4%</w:t>
            </w:r>
          </w:p>
        </w:tc>
      </w:tr>
      <w:tr>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Poland</w:t>
            </w:r>
          </w:p>
        </w:tc>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Precautionary (non-thermal legacy)</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0.1 W/m²</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~1.1%</w:t>
            </w:r>
          </w:p>
        </w:tc>
      </w:tr>
      <w:tr>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Russia</w:t>
            </w:r>
          </w:p>
        </w:tc>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Non-thermal / occupational bioeffects research</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0.1 W/m²</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~1.1%</w:t>
            </w:r>
          </w:p>
        </w:tc>
      </w:tr>
      <w:tr>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Switzerland (sensitive areas)</w:t>
            </w:r>
          </w:p>
        </w:tc>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Precautionary / ALARA principle</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0.095 W/m²</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~1%</w:t>
            </w:r>
          </w:p>
        </w:tc>
      </w:tr>
      <w:tr>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Belgium — Brussels</w:t>
            </w:r>
          </w:p>
        </w:tc>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Strict precautionary (5 V/m total)</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0.024 W/m²</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~0.3%</w:t>
            </w:r>
          </w:p>
        </w:tc>
      </w:tr>
      <w:tr>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Iran</w:t>
            </w:r>
          </w:p>
        </w:tc>
        <w:tc>
          <w:tcPr>
            <w:tcW w:type="dxa" w:w="288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ICNIRP baseline + stricter internal standards*</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TBC*</w:t>
            </w:r>
          </w:p>
        </w:tc>
        <w:tc>
          <w:tcPr>
            <w:tcW w:type="dxa" w:w="1800"/>
            <w:tcBorders>
              <w:top w:val="single" w:color="CCCCCC" w:sz="1"/>
              <w:left w:val="single" w:color="CCCCCC" w:sz="1"/>
              <w:bottom w:val="single" w:color="CCCCCC" w:sz="1"/>
              <w:right w:val="single" w:color="CCCCCC" w:sz="1"/>
            </w:tcBorders>
            <w:shd w:fill="F0F9F0" w:val="clear"/>
            <w:tcMar>
              <w:top w:type="dxa" w:w="60"/>
              <w:left w:type="dxa" w:w="120"/>
              <w:bottom w:type="dxa" w:w="60"/>
              <w:right w:type="dxa" w:w="120"/>
            </w:tcMar>
          </w:tcPr>
          <w:p>
            <w:r>
              <w:rPr>
                <w:rFonts w:ascii="Arial" w:cs="Arial" w:eastAsia="Arial" w:hAnsi="Arial"/>
                <w:sz w:val="19"/>
                <w:szCs w:val="19"/>
              </w:rPr>
              <w:t xml:space="preserve">—</w:t>
            </w:r>
          </w:p>
        </w:tc>
      </w:tr>
      <w:tr>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BioInitiative Working Group</w:t>
            </w:r>
          </w:p>
        </w:tc>
        <w:tc>
          <w:tcPr>
            <w:tcW w:type="dxa" w:w="28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Non-thermal bioeffects research</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0.001–0.01 W/m²</w:t>
            </w:r>
          </w:p>
        </w:tc>
        <w:tc>
          <w:tcPr>
            <w:tcW w:type="dxa" w:w="18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19"/>
                <w:szCs w:val="19"/>
              </w:rPr>
              <w:t xml:space="preserve">0.01%</w:t>
            </w:r>
          </w:p>
        </w:tc>
      </w:tr>
    </w:tbl>
    <w:p>
      <w:pPr>
        <w:spacing w:after="120" w:before="0"/>
      </w:pPr>
      <w:r>
        <w:t xml:space="preserve"/>
      </w:r>
    </w:p>
    <w:p>
      <w:pPr>
        <w:spacing w:after="120" w:before="60"/>
      </w:pPr>
      <w:r>
        <w:rPr>
          <w:rFonts w:ascii="Arial" w:cs="Arial" w:eastAsia="Arial" w:hAnsi="Arial"/>
          <w:i/>
          <w:iCs/>
          <w:sz w:val="22"/>
          <w:szCs w:val="22"/>
        </w:rPr>
        <w:t xml:space="preserve">* Iran's INIRPRC (Ionizing and Non-Ionizing Radiation Protection Research Center, Shiraz University of Medical Sciences) has been among the world's most productive national research programs on RF bioeffects. Their official regulatory limit is currently being verified and will be updated in future editions of this document.</w:t>
      </w:r>
    </w:p>
    <w:p>
      <w:pPr>
        <w:spacing w:after="120" w:before="0"/>
      </w:pPr>
      <w:r>
        <w:t xml:space="preserve"/>
      </w:r>
    </w:p>
    <w:p>
      <w:pPr>
        <w:pStyle w:val="Heading1"/>
        <w:pBdr>
          <w:bottom w:val="single" w:color="1E5C2E" w:sz="6" w:space="1"/>
        </w:pBdr>
        <w:spacing w:after="180" w:before="360"/>
      </w:pPr>
      <w:r>
        <w:rPr>
          <w:rFonts w:ascii="Arial" w:cs="Arial" w:eastAsia="Arial" w:hAnsi="Arial"/>
          <w:b/>
          <w:bCs/>
          <w:color w:val="1E5C2E"/>
          <w:sz w:val="32"/>
          <w:szCs w:val="32"/>
        </w:rPr>
        <w:t xml:space="preserve">What These Differences Mean in Practice</w:t>
      </w:r>
    </w:p>
    <w:p>
      <w:pPr>
        <w:spacing w:after="120" w:before="60"/>
      </w:pPr>
      <w:r>
        <w:rPr>
          <w:rFonts w:ascii="Arial" w:cs="Arial" w:eastAsia="Arial" w:hAnsi="Arial"/>
          <w:sz w:val="22"/>
          <w:szCs w:val="22"/>
        </w:rPr>
        <w:t xml:space="preserve">The difference between the US limit (10 W/m²) and, for example, Switzerland's sensitive-area limit (0.095 W/m²) is not a matter of rounding — it is a factor of more than 100. This means:</w:t>
      </w:r>
    </w:p>
    <w:p>
      <w:pPr>
        <w:spacing w:after="120" w:before="0"/>
      </w:pPr>
      <w:r>
        <w:t xml:space="preserve"/>
      </w:r>
    </w:p>
    <w:p>
      <w:pPr>
        <w:pStyle w:val="ListParagraph"/>
        <w:numPr>
          <w:ilvl w:val="0"/>
          <w:numId w:val="2"/>
        </w:numPr>
        <w:spacing w:after="60" w:before="40"/>
      </w:pPr>
      <w:r>
        <w:rPr>
          <w:rFonts w:ascii="Arial" w:cs="Arial" w:eastAsia="Arial" w:hAnsi="Arial"/>
          <w:sz w:val="22"/>
          <w:szCs w:val="22"/>
        </w:rPr>
        <w:t xml:space="preserve">A cell tower that complies fully with US FCC rules would be illegal in Switzerland, Russia, China, Poland, and many other nations within 100 meters of a home, school, or hospital.</w:t>
      </w:r>
    </w:p>
    <w:p>
      <w:pPr>
        <w:pStyle w:val="ListParagraph"/>
        <w:numPr>
          <w:ilvl w:val="0"/>
          <w:numId w:val="2"/>
        </w:numPr>
        <w:spacing w:after="60" w:before="40"/>
      </w:pPr>
      <w:r>
        <w:rPr>
          <w:rFonts w:ascii="Arial" w:cs="Arial" w:eastAsia="Arial" w:hAnsi="Arial"/>
          <w:sz w:val="22"/>
          <w:szCs w:val="22"/>
        </w:rPr>
        <w:t xml:space="preserve">The United States has no differentiated limits for schools, daycares, or residential areas — in contrast to nations like Greece, Switzerland, Belgium, Italy, and China.</w:t>
      </w:r>
    </w:p>
    <w:p>
      <w:pPr>
        <w:pStyle w:val="ListParagraph"/>
        <w:numPr>
          <w:ilvl w:val="0"/>
          <w:numId w:val="2"/>
        </w:numPr>
        <w:spacing w:after="60" w:before="40"/>
      </w:pPr>
      <w:r>
        <w:rPr>
          <w:rFonts w:ascii="Arial" w:cs="Arial" w:eastAsia="Arial" w:hAnsi="Arial"/>
          <w:sz w:val="22"/>
          <w:szCs w:val="22"/>
        </w:rPr>
        <w:t xml:space="preserve">The US has no specific RF protections for children, pregnant women, or immunologically vulnerable populations.</w:t>
      </w:r>
    </w:p>
    <w:p>
      <w:pPr>
        <w:pStyle w:val="ListParagraph"/>
        <w:numPr>
          <w:ilvl w:val="0"/>
          <w:numId w:val="2"/>
        </w:numPr>
        <w:spacing w:after="60" w:before="40"/>
      </w:pPr>
      <w:r>
        <w:rPr>
          <w:rFonts w:ascii="Arial" w:cs="Arial" w:eastAsia="Arial" w:hAnsi="Arial"/>
          <w:sz w:val="22"/>
          <w:szCs w:val="22"/>
        </w:rPr>
        <w:t xml:space="preserve">Russia's public limits are rooted in a 70-year research tradition focused on occupational and chronic non-thermal effects — not industry risk tolerance.</w:t>
      </w:r>
    </w:p>
    <w:p>
      <w:pP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8F5E9" w:val="clear"/>
            <w:tcMar>
              <w:top w:type="dxa" w:w="120"/>
              <w:left w:type="dxa" w:w="180"/>
              <w:bottom w:type="dxa" w:w="120"/>
              <w:right w:type="dxa" w:w="180"/>
            </w:tcMar>
          </w:tcPr>
          <w:p>
            <w:r>
              <w:rPr>
                <w:rFonts w:ascii="Arial" w:cs="Arial" w:eastAsia="Arial" w:hAnsi="Arial"/>
                <w:b/>
                <w:bCs/>
                <w:color w:val="1E5C2E"/>
                <w:sz w:val="22"/>
                <w:szCs w:val="22"/>
              </w:rPr>
              <w:t xml:space="preserve">China's precautionary approach</w:t>
            </w:r>
          </w:p>
          <w:p>
            <w:pPr>
              <w:spacing w:before="60"/>
            </w:pPr>
            <w:r>
              <w:rPr>
                <w:rFonts w:ascii="Arial" w:cs="Arial" w:eastAsia="Arial" w:hAnsi="Arial"/>
                <w:i/>
                <w:iCs/>
                <w:sz w:val="22"/>
                <w:szCs w:val="22"/>
              </w:rPr>
              <w:t xml:space="preserve">China's public exposure limit is approximately 25 times more protective than the ICNIRP standard adopted by the United States and United Kingdom. China additionally mandates protective shielding garments for pregnant women in public settings, reflecting government recognition of fetal vulnerability to RF radiation. Certified EMF-shielding maternity fabrics manufactured in China to national standards are among the most effective commercially available globally.</w:t>
            </w:r>
          </w:p>
        </w:tc>
      </w:tr>
    </w:tbl>
    <w:p>
      <w:pPr>
        <w:spacing w:after="120" w:before="0"/>
      </w:pPr>
      <w:r>
        <w:t xml:space="preserve"/>
      </w:r>
    </w:p>
    <w:p>
      <w:pPr>
        <w:pStyle w:val="Heading1"/>
        <w:pBdr>
          <w:bottom w:val="single" w:color="1E5C2E" w:sz="6" w:space="1"/>
        </w:pBdr>
        <w:spacing w:after="180" w:before="360"/>
      </w:pPr>
      <w:r>
        <w:rPr>
          <w:rFonts w:ascii="Arial" w:cs="Arial" w:eastAsia="Arial" w:hAnsi="Arial"/>
          <w:b/>
          <w:bCs/>
          <w:color w:val="1E5C2E"/>
          <w:sz w:val="32"/>
          <w:szCs w:val="32"/>
        </w:rPr>
        <w:t xml:space="preserve">Active Research Nations</w:t>
      </w:r>
    </w:p>
    <w:p>
      <w:pPr>
        <w:spacing w:after="120" w:before="60"/>
      </w:pPr>
      <w:r>
        <w:rPr>
          <w:rFonts w:ascii="Arial" w:cs="Arial" w:eastAsia="Arial" w:hAnsi="Arial"/>
          <w:sz w:val="22"/>
          <w:szCs w:val="22"/>
        </w:rPr>
        <w:t xml:space="preserve">Several nations have been particularly active in RF bioeffects research, and not coincidentally tend to have more protective public exposure standards:</w:t>
      </w:r>
    </w:p>
    <w:p>
      <w:pPr>
        <w:spacing w:after="120" w:before="0"/>
      </w:pPr>
      <w:r>
        <w:t xml:space="preserve"/>
      </w:r>
    </w:p>
    <w:p>
      <w:pPr>
        <w:pStyle w:val="ListParagraph"/>
        <w:numPr>
          <w:ilvl w:val="0"/>
          <w:numId w:val="2"/>
        </w:numPr>
        <w:spacing w:after="60" w:before="40"/>
      </w:pPr>
      <w:r>
        <w:rPr>
          <w:rFonts w:ascii="Arial" w:cs="Arial" w:eastAsia="Arial" w:hAnsi="Arial"/>
          <w:sz w:val="22"/>
          <w:szCs w:val="22"/>
        </w:rPr>
        <w:t xml:space="preserve">Russia — Decades of occupational health research; the Russian National Committee on Non-Ionizing Radiation Protection (RNCNRP) continues to publish policy recommendations and health warnings, particularly regarding children and mobile phones.</w:t>
      </w:r>
    </w:p>
    <w:p>
      <w:pPr>
        <w:pStyle w:val="ListParagraph"/>
        <w:numPr>
          <w:ilvl w:val="0"/>
          <w:numId w:val="2"/>
        </w:numPr>
        <w:spacing w:after="60" w:before="40"/>
      </w:pPr>
      <w:r>
        <w:rPr>
          <w:rFonts w:ascii="Arial" w:cs="Arial" w:eastAsia="Arial" w:hAnsi="Arial"/>
          <w:sz w:val="22"/>
          <w:szCs w:val="22"/>
        </w:rPr>
        <w:t xml:space="preserve">Iran — The Ionizing and Non-Ionizing Radiation Protection Research Center (INIRPRC) at Shiraz University of Medical Sciences has produced internationally cited research on RF effects including fertility impacts, blood glucose regulation, nervous system function, and immune modulation.</w:t>
      </w:r>
    </w:p>
    <w:p>
      <w:pPr>
        <w:pStyle w:val="ListParagraph"/>
        <w:numPr>
          <w:ilvl w:val="0"/>
          <w:numId w:val="2"/>
        </w:numPr>
        <w:spacing w:after="60" w:before="40"/>
      </w:pPr>
      <w:r>
        <w:rPr>
          <w:rFonts w:ascii="Arial" w:cs="Arial" w:eastAsia="Arial" w:hAnsi="Arial"/>
          <w:sz w:val="22"/>
          <w:szCs w:val="22"/>
        </w:rPr>
        <w:t xml:space="preserve">Turkey — Turkey's Information and Communication Technologies Authority (ICTA) has applied limits at one-tenth of ICNIRP levels for base stations, and Turkish academic institutions have contributed substantially to the peer-reviewed literature on RF bioeffects.</w:t>
      </w:r>
    </w:p>
    <w:p>
      <w:pPr>
        <w:pStyle w:val="ListParagraph"/>
        <w:numPr>
          <w:ilvl w:val="0"/>
          <w:numId w:val="2"/>
        </w:numPr>
        <w:spacing w:after="60" w:before="40"/>
      </w:pPr>
      <w:r>
        <w:rPr>
          <w:rFonts w:ascii="Arial" w:cs="Arial" w:eastAsia="Arial" w:hAnsi="Arial"/>
          <w:sz w:val="22"/>
          <w:szCs w:val="22"/>
        </w:rPr>
        <w:t xml:space="preserve">Italy — The Ramazzini Institute in Bologna is one of the world's foremost independent cancer research centers; its 2018 cell tower study remains among the most significant animal studies published on RF carcinogenicity.</w:t>
      </w:r>
    </w:p>
    <w:p>
      <w:pPr>
        <w:pStyle w:val="ListParagraph"/>
        <w:numPr>
          <w:ilvl w:val="0"/>
          <w:numId w:val="2"/>
        </w:numPr>
        <w:spacing w:after="60" w:before="40"/>
      </w:pPr>
      <w:r>
        <w:rPr>
          <w:rFonts w:ascii="Arial" w:cs="Arial" w:eastAsia="Arial" w:hAnsi="Arial"/>
          <w:sz w:val="22"/>
          <w:szCs w:val="22"/>
        </w:rPr>
        <w:t xml:space="preserve">Sweden — Researchers including Dr. Lennart Hardell (Örebro University Hospital) have produced the most extensive epidemiological analyses of brain tumor risk associated with long-term mobile phone use.</w:t>
      </w:r>
    </w:p>
    <w:p>
      <w:pPr>
        <w:spacing w:after="120" w:before="0"/>
      </w:pPr>
      <w:r>
        <w:t xml:space="preserve"/>
      </w:r>
    </w:p>
    <w:p>
      <w:pPr>
        <w:pStyle w:val="Heading1"/>
        <w:pBdr>
          <w:bottom w:val="single" w:color="1E5C2E" w:sz="6" w:space="1"/>
        </w:pBdr>
        <w:spacing w:after="180" w:before="360"/>
      </w:pPr>
      <w:r>
        <w:rPr>
          <w:rFonts w:ascii="Arial" w:cs="Arial" w:eastAsia="Arial" w:hAnsi="Arial"/>
          <w:b/>
          <w:bCs/>
          <w:color w:val="1E5C2E"/>
          <w:sz w:val="32"/>
          <w:szCs w:val="32"/>
        </w:rPr>
        <w:t xml:space="preserve">Timeline: Key Milestones in RF Research</w:t>
      </w:r>
    </w:p>
    <w:p>
      <w:pPr>
        <w:spacing w:after="120" w:before="60"/>
      </w:pPr>
      <w:r>
        <w:rPr>
          <w:rFonts w:ascii="Arial" w:cs="Arial" w:eastAsia="Arial" w:hAnsi="Arial"/>
          <w:sz w:val="22"/>
          <w:szCs w:val="22"/>
        </w:rPr>
        <w:t xml:space="preserve">1950s: Soviet research begins documenting biological effects of RF radiation in radar and telecommunications workers.</w:t>
      </w:r>
    </w:p>
    <w:p>
      <w:pPr>
        <w:spacing w:after="120" w:before="60"/>
      </w:pPr>
      <w:r>
        <w:rPr>
          <w:rFonts w:ascii="Arial" w:cs="Arial" w:eastAsia="Arial" w:hAnsi="Arial"/>
          <w:sz w:val="22"/>
          <w:szCs w:val="22"/>
        </w:rPr>
        <w:t xml:space="preserve">1953–1979: Soviet Union irradiates US Embassy in Moscow with microwave radiation. Embassy staff develop elevated rates of neurological and vascular symptoms.</w:t>
      </w:r>
    </w:p>
    <w:p>
      <w:pPr>
        <w:spacing w:after="120" w:before="60"/>
      </w:pPr>
      <w:r>
        <w:rPr>
          <w:rFonts w:ascii="Arial" w:cs="Arial" w:eastAsia="Arial" w:hAnsi="Arial"/>
          <w:sz w:val="22"/>
          <w:szCs w:val="22"/>
        </w:rPr>
        <w:t xml:space="preserve">1960s–1990s: USSR publishes approximately 800 studies on occupational RF exposure; establishes public limits 100–1,000× more protective than future US standards.</w:t>
      </w:r>
    </w:p>
    <w:p>
      <w:pPr>
        <w:spacing w:after="120" w:before="60"/>
      </w:pPr>
      <w:r>
        <w:rPr>
          <w:rFonts w:ascii="Arial" w:cs="Arial" w:eastAsia="Arial" w:hAnsi="Arial"/>
          <w:sz w:val="22"/>
          <w:szCs w:val="22"/>
        </w:rPr>
        <w:t xml:space="preserve">1971: Naval Medical Research Institute publishes Dr. Zorach Glaser’s bibliography of approximately 2,300 studies documenting biological effects of microwave and RF radiation — one of the earliest and most comprehensive US military compilations of the evidence. 1975: US Defense Intelligence Agency publishes “Biological Effects of Electromagnetic Radiation (Radiowaves and Microwaves) in Eurasian Communist Countries,” prepared by Army Medical Intelligence and the Office of the Surgeon General — formally acknowledging the Soviet research program and its findings on non-thermal biological effects.</w:t>
      </w:r>
    </w:p>
    <w:p>
      <w:pPr>
        <w:spacing w:after="120" w:before="60"/>
      </w:pPr>
      <w:r>
        <w:rPr>
          <w:rFonts w:ascii="Arial" w:cs="Arial" w:eastAsia="Arial" w:hAnsi="Arial"/>
          <w:sz w:val="22"/>
          <w:szCs w:val="22"/>
        </w:rPr>
        <w:t xml:space="preserve">1996: US FCC sets public RF exposure guidelines. These limits remain in force unchanged as of September 2026 — thirty years without revision, despite the dramatic expansion of wireless technology and the accumulation of thousands of studies on biological effects.</w:t>
      </w:r>
    </w:p>
    <w:p>
      <w:pPr>
        <w:spacing w:after="120" w:before="60"/>
      </w:pPr>
      <w:r>
        <w:rPr>
          <w:rFonts w:ascii="Arial" w:cs="Arial" w:eastAsia="Arial" w:hAnsi="Arial"/>
          <w:sz w:val="22"/>
          <w:szCs w:val="22"/>
        </w:rPr>
        <w:t xml:space="preserve">2011: International Agency for Research on Cancer (IARC/WHO) classifies RF electromagnetic fields as "possibly carcinogenic to humans" (Group 2B), based on evidence including elevated glioma risk in long-term mobile phone users.</w:t>
      </w:r>
    </w:p>
    <w:p>
      <w:pPr>
        <w:spacing w:after="120" w:before="60"/>
      </w:pPr>
      <w:r>
        <w:rPr>
          <w:rFonts w:ascii="Arial" w:cs="Arial" w:eastAsia="Arial" w:hAnsi="Arial"/>
          <w:sz w:val="22"/>
          <w:szCs w:val="22"/>
        </w:rPr>
        <w:t xml:space="preserve">2018: NTP (USA) and Ramazzini Institute (Italy) publish independent animal studies both finding malignant schwannomas of the heart in exposed rats — within weeks of each other.</w:t>
      </w:r>
    </w:p>
    <w:p>
      <w:pPr>
        <w:spacing w:after="120" w:before="60"/>
      </w:pPr>
      <w:r>
        <w:rPr>
          <w:rFonts w:ascii="Arial" w:cs="Arial" w:eastAsia="Arial" w:hAnsi="Arial"/>
          <w:sz w:val="22"/>
          <w:szCs w:val="22"/>
        </w:rPr>
        <w:t xml:space="preserve">2019: US federal court orders FCC to address non-thermal evidence; Russia's RNCNRP calls for EMF hazard warning labels on wireless devices.</w:t>
      </w:r>
    </w:p>
    <w:p>
      <w:pPr>
        <w:spacing w:after="120" w:before="60"/>
      </w:pPr>
      <w:r>
        <w:rPr>
          <w:rFonts w:ascii="Arial" w:cs="Arial" w:eastAsia="Arial" w:hAnsi="Arial"/>
          <w:sz w:val="22"/>
          <w:szCs w:val="22"/>
        </w:rPr>
        <w:t xml:space="preserve">2020: ICNIRP updates guidelines but retains thermal-only basis; BioInitiative scientists formally criticize the update as inadequate.</w:t>
      </w:r>
    </w:p>
    <w:p>
      <w:pPr>
        <w:spacing w:after="120" w:before="60"/>
      </w:pPr>
      <w:r>
        <w:rPr>
          <w:rFonts w:ascii="Arial" w:cs="Arial" w:eastAsia="Arial" w:hAnsi="Arial"/>
          <w:sz w:val="22"/>
          <w:szCs w:val="22"/>
        </w:rPr>
        <w:t xml:space="preserve">2022: International Commission on the Biological Effects of Electromagnetic Fields (ICBE-EMF) publishes a formal rebuttal of ICNIRP's 2020 guidelines, arguing that they fail to protect against documented non-thermal biological effects.</w:t>
      </w:r>
    </w:p>
    <w:p>
      <w:pPr>
        <w:spacing w:after="120" w:before="60"/>
      </w:pPr>
      <w:r>
        <w:rPr>
          <w:rFonts w:ascii="Arial" w:cs="Arial" w:eastAsia="Arial" w:hAnsi="Arial"/>
          <w:sz w:val="22"/>
          <w:szCs w:val="22"/>
        </w:rPr>
        <w:t xml:space="preserve">2023–2025: WHO commissions 12 systematic reviews on RF health effects; independent scientists formally criticize the review process for ICNIRP bias; IARC re-evaluation of RF classification remains pending.</w:t>
      </w:r>
    </w:p>
    <w:p>
      <w:pPr>
        <w:spacing w:after="120" w:before="0"/>
      </w:pPr>
      <w:r>
        <w:t xml:space="preserve"/>
      </w:r>
    </w:p>
    <w:p>
      <w:pPr>
        <w:pStyle w:val="Heading1"/>
        <w:pBdr>
          <w:bottom w:val="single" w:color="1E5C2E" w:sz="6" w:space="1"/>
        </w:pBdr>
        <w:spacing w:after="180" w:before="360"/>
      </w:pPr>
      <w:r>
        <w:rPr>
          <w:rFonts w:ascii="Arial" w:cs="Arial" w:eastAsia="Arial" w:hAnsi="Arial"/>
          <w:b/>
          <w:bCs/>
          <w:color w:val="1E5C2E"/>
          <w:sz w:val="32"/>
          <w:szCs w:val="32"/>
        </w:rPr>
        <w:t xml:space="preserve">Key References</w:t>
      </w:r>
    </w:p>
    <w:p>
      <w:pPr>
        <w:spacing w:after="120" w:before="60"/>
      </w:pPr>
      <w:r>
        <w:rPr>
          <w:rFonts w:ascii="Arial" w:cs="Arial" w:eastAsia="Arial" w:hAnsi="Arial"/>
          <w:b/>
          <w:bCs/>
          <w:sz w:val="22"/>
          <w:szCs w:val="22"/>
        </w:rPr>
        <w:t xml:space="preserve">Selected peer-reviewed and institutional sources underlying this document:</w:t>
      </w:r>
    </w:p>
    <w:p>
      <w:pPr>
        <w:spacing w:after="120" w:before="0"/>
      </w:pPr>
      <w:r>
        <w:t xml:space="preserve"/>
      </w:r>
    </w:p>
    <w:p>
      <w:pPr>
        <w:pStyle w:val="ListParagraph"/>
        <w:numPr>
          <w:ilvl w:val="0"/>
          <w:numId w:val="2"/>
        </w:numPr>
        <w:spacing w:after="60" w:before="40"/>
      </w:pPr>
      <w:r>
        <w:rPr>
          <w:rFonts w:ascii="Arial" w:cs="Arial" w:eastAsia="Arial" w:hAnsi="Arial"/>
          <w:sz w:val="22"/>
          <w:szCs w:val="22"/>
        </w:rPr>
        <w:t xml:space="preserve">National Toxicology Program. (2018). Technical Reports TR-595 and TR-596: Toxicology and carcinogenesis studies of cell phone radiofrequency radiation. US Department of Health and Human Services.</w:t>
      </w:r>
    </w:p>
    <w:p>
      <w:pPr>
        <w:pStyle w:val="ListParagraph"/>
        <w:numPr>
          <w:ilvl w:val="0"/>
          <w:numId w:val="2"/>
        </w:numPr>
        <w:spacing w:after="60" w:before="40"/>
      </w:pPr>
      <w:r>
        <w:rPr>
          <w:rFonts w:ascii="Arial" w:cs="Arial" w:eastAsia="Arial" w:hAnsi="Arial"/>
          <w:sz w:val="22"/>
          <w:szCs w:val="22"/>
        </w:rPr>
        <w:t xml:space="preserve">Falcioni L et al. (2018). Report of final results regarding brain and heart tumors in Sprague-Dawley rats exposed to mobile phone radiofrequency fields. Environmental Research, 165:496–503.</w:t>
      </w:r>
    </w:p>
    <w:p>
      <w:pPr>
        <w:pStyle w:val="ListParagraph"/>
        <w:numPr>
          <w:ilvl w:val="0"/>
          <w:numId w:val="2"/>
        </w:numPr>
        <w:spacing w:after="60" w:before="40"/>
      </w:pPr>
      <w:r>
        <w:rPr>
          <w:rFonts w:ascii="Arial" w:cs="Arial" w:eastAsia="Arial" w:hAnsi="Arial"/>
          <w:sz w:val="22"/>
          <w:szCs w:val="22"/>
        </w:rPr>
        <w:t xml:space="preserve">Hardell L, Mild KH. (2019). Comments on the US National Toxicology Program technical reports. International Journal of Oncology, 54(1):111–120.</w:t>
      </w:r>
    </w:p>
    <w:p>
      <w:pPr>
        <w:pStyle w:val="ListParagraph"/>
        <w:numPr>
          <w:ilvl w:val="0"/>
          <w:numId w:val="2"/>
        </w:numPr>
        <w:spacing w:after="60" w:before="40"/>
      </w:pPr>
      <w:r>
        <w:rPr>
          <w:rFonts w:ascii="Arial" w:cs="Arial" w:eastAsia="Arial" w:hAnsi="Arial"/>
          <w:sz w:val="22"/>
          <w:szCs w:val="22"/>
        </w:rPr>
        <w:t xml:space="preserve">Environmental Health Trust. (2025). Russia policy recommendations on cell phones, wireless radiation and health. ehtrust.org</w:t>
      </w:r>
    </w:p>
    <w:p>
      <w:pPr>
        <w:pStyle w:val="ListParagraph"/>
        <w:numPr>
          <w:ilvl w:val="0"/>
          <w:numId w:val="2"/>
        </w:numPr>
        <w:spacing w:after="60" w:before="40"/>
      </w:pPr>
      <w:r>
        <w:rPr>
          <w:rFonts w:ascii="Arial" w:cs="Arial" w:eastAsia="Arial" w:hAnsi="Arial"/>
          <w:sz w:val="22"/>
          <w:szCs w:val="22"/>
        </w:rPr>
        <w:t xml:space="preserve">Environmental Health Sciences. (2025). Cell tower radiation exposure limits worldwide. ehsciences.org</w:t>
      </w:r>
    </w:p>
    <w:p>
      <w:pPr>
        <w:pStyle w:val="ListParagraph"/>
        <w:numPr>
          <w:ilvl w:val="0"/>
          <w:numId w:val="2"/>
        </w:numPr>
        <w:spacing w:after="60" w:before="40"/>
      </w:pPr>
      <w:r>
        <w:rPr>
          <w:rFonts w:ascii="Arial" w:cs="Arial" w:eastAsia="Arial" w:hAnsi="Arial"/>
          <w:sz w:val="22"/>
          <w:szCs w:val="22"/>
        </w:rPr>
        <w:t xml:space="preserve">Frontiers in Public Health. (2023). U.S. policy on wireless technologies and public health protection: regulatory gaps and proposed reforms.</w:t>
      </w:r>
    </w:p>
    <w:p>
      <w:pPr>
        <w:pStyle w:val="ListParagraph"/>
        <w:numPr>
          <w:ilvl w:val="0"/>
          <w:numId w:val="2"/>
        </w:numPr>
        <w:spacing w:after="60" w:before="40"/>
      </w:pPr>
      <w:r>
        <w:rPr>
          <w:rFonts w:ascii="Arial" w:cs="Arial" w:eastAsia="Arial" w:hAnsi="Arial"/>
          <w:sz w:val="22"/>
          <w:szCs w:val="22"/>
        </w:rPr>
        <w:t xml:space="preserve">ICNIRP. (2020). Guidelines for limiting exposure to electromagnetic fields (100 kHz to 300 GHz). Health Physics, 118(5):483–524.</w:t>
      </w:r>
    </w:p>
    <w:p>
      <w:pPr>
        <w:pStyle w:val="ListParagraph"/>
        <w:numPr>
          <w:ilvl w:val="0"/>
          <w:numId w:val="2"/>
        </w:numPr>
        <w:spacing w:after="60" w:before="40"/>
      </w:pPr>
      <w:r>
        <w:rPr>
          <w:rFonts w:ascii="Arial" w:cs="Arial" w:eastAsia="Arial" w:hAnsi="Arial"/>
          <w:sz w:val="22"/>
          <w:szCs w:val="22"/>
        </w:rPr>
        <w:t xml:space="preserve">BioInitiative Working Group. (2012, updated). bioinitiative.org</w:t>
      </w:r>
    </w:p>
    <w:p>
      <w:pPr>
        <w:pStyle w:val="ListParagraph"/>
        <w:numPr>
          <w:ilvl w:val="0"/>
          <w:numId w:val="2"/>
        </w:numPr>
        <w:spacing w:after="60" w:before="40"/>
      </w:pPr>
      <w:r>
        <w:rPr>
          <w:rFonts w:ascii="Arial" w:cs="Arial" w:eastAsia="Arial" w:hAnsi="Arial"/>
          <w:sz w:val="22"/>
          <w:szCs w:val="22"/>
        </w:rPr>
        <w:t xml:space="preserve">International Commission on the Biological Effects of Electromagnetic Fields (ICBE-EMF). (2022). Scientific evidence invalidates health assumptions underlying the FCC and ICNIRP exposure limit determinations. Environmental Health.</w:t>
      </w:r>
    </w:p>
    <w:p>
      <w:pPr>
        <w:spacing w:after="120" w:before="0"/>
      </w:pPr>
      <w:r>
        <w:t xml:space="preserve"/>
      </w:r>
    </w:p>
    <w:p>
      <w:pPr>
        <w:pBdr>
          <w:top w:val="single" w:color="CCCCCC" w:sz="2" w:space="4"/>
        </w:pBdr>
        <w:spacing w:before="360"/>
        <w:jc w:val="center"/>
      </w:pPr>
      <w:r>
        <w:rPr>
          <w:rFonts w:ascii="Arial" w:cs="Arial" w:eastAsia="Arial" w:hAnsi="Arial"/>
          <w:i/>
          <w:iCs/>
          <w:color w:val="888888"/>
          <w:sz w:val="18"/>
          <w:szCs w:val="18"/>
        </w:rPr>
        <w:t xml:space="preserve">This document may be freely shared for public health education purposes.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8"/>
        <w:szCs w:val="18"/>
      </w:rPr>
      <w:t xml:space="preserve">EMF Awareness Campaign  |  RF Research History &amp; Global Standards  |  Page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sz w:val="32"/>
      <w:szCs w:val="32"/>
    </w:rPr>
  </w:style>
  <w:style w:type="paragraph" w:styleId="Heading2">
    <w:name w:val="Heading 2"/>
    <w:basedOn w:val="Normal"/>
    <w:next w:val="Normal"/>
    <w:qFormat/>
    <w:pPr>
      <w:spacing w:after="120" w:before="24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2026-04-14T23:19:36.139Z</dcterms:created>
  <dcterms:modified xsi:type="dcterms:W3CDTF">2026-04-14T23:19:36.140Z</dcterms:modified>
</cp:coreProperties>
</file>

<file path=docProps/custom.xml><?xml version="1.0" encoding="utf-8"?>
<Properties xmlns="http://schemas.openxmlformats.org/officeDocument/2006/custom-properties" xmlns:vt="http://schemas.openxmlformats.org/officeDocument/2006/docPropsVTypes"/>
</file>